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3FF" w:rsidRPr="008A53FF" w:rsidRDefault="008A53FF" w:rsidP="008A53FF">
      <w:pPr>
        <w:pStyle w:val="NormalnyWeb"/>
        <w:rPr>
          <w:rFonts w:asciiTheme="minorHAnsi" w:hAnsiTheme="minorHAnsi" w:cs="Arial"/>
          <w:shd w:val="clear" w:color="auto" w:fill="FFFFFF"/>
          <w:lang w:val="pl-PL"/>
        </w:rPr>
      </w:pPr>
      <w:r w:rsidRPr="008A53FF">
        <w:rPr>
          <w:rFonts w:asciiTheme="minorHAnsi" w:hAnsiTheme="minorHAnsi"/>
          <w:lang w:val="pl-PL"/>
        </w:rPr>
        <w:t>Dotyczy</w:t>
      </w:r>
      <w:r w:rsidR="00326931">
        <w:rPr>
          <w:rFonts w:asciiTheme="minorHAnsi" w:hAnsiTheme="minorHAnsi"/>
          <w:lang w:val="pl-PL"/>
        </w:rPr>
        <w:t>:</w:t>
      </w:r>
      <w:r w:rsidRPr="008A53FF">
        <w:rPr>
          <w:rFonts w:asciiTheme="minorHAnsi" w:hAnsiTheme="minorHAnsi"/>
          <w:lang w:val="pl-PL"/>
        </w:rPr>
        <w:t xml:space="preserve"> </w:t>
      </w:r>
      <w:r w:rsidRPr="008A53FF">
        <w:rPr>
          <w:rFonts w:asciiTheme="minorHAnsi" w:hAnsiTheme="minorHAnsi"/>
          <w:lang w:val="pl-PL"/>
        </w:rPr>
        <w:br/>
      </w:r>
      <w:r w:rsidRPr="008A53FF">
        <w:rPr>
          <w:rFonts w:asciiTheme="minorHAnsi" w:hAnsiTheme="minorHAnsi" w:cs="Arial"/>
          <w:color w:val="333333"/>
          <w:lang w:val="pl-PL"/>
        </w:rPr>
        <w:t xml:space="preserve">Budowa kanalizacji sanitarnej w miejscowości Granowo </w:t>
      </w:r>
      <w:r w:rsidRPr="008A53FF">
        <w:rPr>
          <w:rFonts w:asciiTheme="minorHAnsi" w:hAnsiTheme="minorHAnsi"/>
          <w:lang w:val="pl-PL"/>
        </w:rPr>
        <w:br/>
      </w:r>
      <w:r w:rsidRPr="008A53FF">
        <w:rPr>
          <w:rFonts w:asciiTheme="minorHAnsi" w:hAnsiTheme="minorHAnsi" w:cs="Arial"/>
          <w:b/>
          <w:bCs/>
          <w:lang w:val="pl-PL"/>
        </w:rPr>
        <w:t>Numer referencyjny: </w:t>
      </w:r>
      <w:r w:rsidRPr="008A53FF">
        <w:rPr>
          <w:rFonts w:asciiTheme="minorHAnsi" w:hAnsiTheme="minorHAnsi" w:cs="Arial"/>
          <w:shd w:val="clear" w:color="auto" w:fill="FFFFFF"/>
          <w:lang w:val="pl-PL"/>
        </w:rPr>
        <w:t>ZP.00</w:t>
      </w:r>
      <w:r w:rsidR="00B51CA0">
        <w:rPr>
          <w:rFonts w:asciiTheme="minorHAnsi" w:hAnsiTheme="minorHAnsi" w:cs="Arial"/>
          <w:shd w:val="clear" w:color="auto" w:fill="FFFFFF"/>
          <w:lang w:val="pl-PL"/>
        </w:rPr>
        <w:t>4</w:t>
      </w:r>
      <w:r w:rsidRPr="008A53FF">
        <w:rPr>
          <w:rFonts w:asciiTheme="minorHAnsi" w:hAnsiTheme="minorHAnsi" w:cs="Arial"/>
          <w:shd w:val="clear" w:color="auto" w:fill="FFFFFF"/>
          <w:lang w:val="pl-PL"/>
        </w:rPr>
        <w:t xml:space="preserve">.08.2017 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OPIS TECHNOLOGICZNY PRZEPOMPOWNI P5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 W trakcie realizacji dostaw należy ściśle przestrzegać wymagań Zamawiającego dotyczących przepompowni zawartych w projekcie. 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 Układ technologiczny należy rozpatrywać jako układ złożony składający się z pięciu przepompowni ścieków, które wzajemnie na siebie wpływają również przez pracę równoległą. Praca pomp we wszystkich przepompowniach została zaprojektowana jako 1 + 1 Rezerwa. Układ przepompowni jest dodatkowo wspomagany przez stację płuczącą powietrzem.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 Ze względu na procesy chemiczne występujące w ściekach zbiorniki przepompowni zaprojektowano z  </w:t>
      </w:r>
      <w:proofErr w:type="spellStart"/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polimerobetonu</w:t>
      </w:r>
      <w:proofErr w:type="spellEnd"/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. Dodatkowo zbiorniki przepompowni zaprojektowano wyposażone w wentylację mechaniczną wywiewna i nawiewną grawitacyjną DN 150, wentylator EX i chemoodporny mocowany na podwyższeniu minimum 1,0m. Dodatkowo każdy zbiornik należy zaopatrzyć w dwa filtry przeciw-zapachowe. Każda przepompownia musi być wyposażona dodatkowe przyłącze płuczące oraz przyłącze do współpracy z urządzeniem do płukania powietrzem.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Wszystkie pompy należy wyposażyć w instalacje płuczące i mieszające ścieki w zbiornikach oraz instalacje natleniające.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 Zaprojektowano rozwiązywanie problemów z zagniwaniem ścieków: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 xml:space="preserve">Zaprojektowano wyposażenie każdej przepompowni w pompę zaopatrzoną w instalacje napowietrzające i mieszające ścieki, wentylację zaopatrzoną w katalityczne filtry przeciw </w:t>
      </w:r>
      <w:proofErr w:type="spellStart"/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odorowe</w:t>
      </w:r>
      <w:proofErr w:type="spellEnd"/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 xml:space="preserve">, zbiornik z </w:t>
      </w:r>
      <w:proofErr w:type="spellStart"/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polimerobetonu</w:t>
      </w:r>
      <w:proofErr w:type="spellEnd"/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  oraz wyposażenie ze stali kwasoodpornej 1.4404.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 Dodatkowo przepompownia P5 2 została wyposażona zespół sprężarkowy płucząco napowietrzający.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Dłuższe  odcinki  kanalizacji  ciśnieniowej wydłużają znacznie  czasy  przebywania  zanieczyszczeń w  rurach,  co  powoduje,  że rozpoczynają się procesy gnilne ścieków. Jeśli procesy gnilne się rozpoczną to praktycznie nie ma możliwości ich cofnięcia.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W  związku  z  powyższym  zaprojektowano  wyposażenie  przepompowni  P5 w  urządzenia  do płukania powietrzem rurociągów ciśnieniowych.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Powietrze  sprężone  wykorzystywane  jest  do zapewnienia koniecznej i minimalnej wymaganej prędkość przepływu ścieków w rurociągu ciśnieniowym.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Zadanie instalacji :</w:t>
      </w:r>
    </w:p>
    <w:p w:rsidR="002F3C0A" w:rsidRPr="002F3C0A" w:rsidRDefault="002F3C0A" w:rsidP="002F3C0A">
      <w:pPr>
        <w:pStyle w:val="gwpdf9b2eae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−  skrócenie czasu przebywania ścieków w rurze</w:t>
      </w:r>
    </w:p>
    <w:p w:rsidR="002F3C0A" w:rsidRPr="002F3C0A" w:rsidRDefault="002F3C0A" w:rsidP="002F3C0A">
      <w:pPr>
        <w:pStyle w:val="gwpdf9b2eae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−  zapewnia natlenienie ścieków,</w:t>
      </w:r>
      <w:bookmarkStart w:id="0" w:name="_GoBack"/>
      <w:bookmarkEnd w:id="0"/>
    </w:p>
    <w:p w:rsidR="002F3C0A" w:rsidRPr="002F3C0A" w:rsidRDefault="002F3C0A" w:rsidP="002F3C0A">
      <w:pPr>
        <w:pStyle w:val="gwpdf9b2eae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−  eliminacja tworzenia sięH2S,</w:t>
      </w:r>
    </w:p>
    <w:p w:rsidR="002F3C0A" w:rsidRPr="002F3C0A" w:rsidRDefault="002F3C0A" w:rsidP="002F3C0A">
      <w:pPr>
        <w:pStyle w:val="gwpdf9b2eae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−  usuwanie złogów w rurach dzięki wysokiej prędkości przepływu.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Płukanie  zależne  od  zapotrzebowania  prowadzi  do  podwyższenia  skuteczności  działania instalacji, przyczynia się do zmniejszenia zużycia prądu  oraz do redukcji emisji nieprzyjemnych zapachów.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lastRenderedPageBreak/>
        <w:t>Załączenie urządzenia może być zablokowane np. na okres weekendów co   pozwala na wykluczenie obciążenia ew. hałasem powodowanym przez sprężarki.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Każda przepompownia , ze względu na możliwość przemieszczania instalacji płukania musi być wyposażona:</w:t>
      </w:r>
    </w:p>
    <w:p w:rsidR="002F3C0A" w:rsidRPr="002F3C0A" w:rsidRDefault="002F3C0A" w:rsidP="002F3C0A">
      <w:pPr>
        <w:pStyle w:val="gwpdf9b2eae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- przyłącze do podłączania urządzenia płuczącego</w:t>
      </w:r>
    </w:p>
    <w:p w:rsidR="002F3C0A" w:rsidRPr="002F3C0A" w:rsidRDefault="002F3C0A" w:rsidP="002F3C0A">
      <w:pPr>
        <w:pStyle w:val="gwpdf9b2eae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- aplikację w sterowaniu przepompownią</w:t>
      </w:r>
    </w:p>
    <w:p w:rsidR="002F3C0A" w:rsidRPr="002F3C0A" w:rsidRDefault="002F3C0A" w:rsidP="002F3C0A">
      <w:pPr>
        <w:pStyle w:val="gwpdf9b2eae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- wyprowadzenie / pobranie sygnałów o pracy przepompowni / urządzenia </w:t>
      </w:r>
    </w:p>
    <w:p w:rsidR="002F3C0A" w:rsidRPr="002F3C0A" w:rsidRDefault="002F3C0A" w:rsidP="002F3C0A">
      <w:pPr>
        <w:pStyle w:val="gwpdf9b2eae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- ułożenie przewodów zasilająco sterujących w osłonie AROT</w:t>
      </w:r>
    </w:p>
    <w:p w:rsidR="002F3C0A" w:rsidRPr="002F3C0A" w:rsidRDefault="002F3C0A" w:rsidP="002F3C0A">
      <w:pPr>
        <w:pStyle w:val="gwpdf9b2eae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- w rury osłonowe dla przewodu ciśnieniowego powietrza.  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 Istotnym elementem technologicznym jest współpraca sterownia wszystkich przepompowni oraz układu monitoringu. Współpraca  z  hierarchicznym  systemem  zarządzania  siecią pompowni  – wzajemnego  blokowania  się pompowni współpracujących  w  ramach  jednego rurociągu przesyłowego.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Współpraca  z  układami  przedmuchiwania  rurociągów  sprężonym  powietrzem  w  zakresie sterowania i zbierania informacji o stanie urządzenia do przedmuchiwania rurociągów.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 Uwaga ze względu na warunki możliwej pracy i zagrożenie Zamawiający wymaga</w:t>
      </w:r>
    </w:p>
    <w:p w:rsidR="002F3C0A" w:rsidRPr="002F3C0A" w:rsidRDefault="002F3C0A" w:rsidP="002F3C0A">
      <w:pPr>
        <w:pStyle w:val="gwpdf9b2eaemsonormal"/>
        <w:shd w:val="clear" w:color="auto" w:fill="FFFFFF"/>
        <w:jc w:val="both"/>
        <w:rPr>
          <w:rFonts w:asciiTheme="minorHAnsi" w:hAnsiTheme="minorHAnsi" w:cs="Segoe UI"/>
          <w:color w:val="2D2D2D"/>
          <w:sz w:val="22"/>
          <w:szCs w:val="22"/>
        </w:rPr>
      </w:pPr>
      <w:r w:rsidRPr="002F3C0A">
        <w:rPr>
          <w:rStyle w:val="gwpdf9b2eaem1836273715615488939size"/>
          <w:rFonts w:asciiTheme="minorHAnsi" w:hAnsiTheme="minorHAnsi" w:cs="Segoe UI"/>
          <w:color w:val="2D2D2D"/>
          <w:sz w:val="22"/>
          <w:szCs w:val="22"/>
        </w:rPr>
        <w:t>dostawy wyposażenia i sprzętu BHP dla serwisu zgodnie z opisem zawartym w dokumentacji projektowej.</w:t>
      </w:r>
    </w:p>
    <w:p w:rsidR="008A53FF" w:rsidRPr="002F3C0A" w:rsidRDefault="008A53FF" w:rsidP="002F3C0A">
      <w:pPr>
        <w:pStyle w:val="NormalnyWeb"/>
        <w:jc w:val="both"/>
        <w:rPr>
          <w:rFonts w:asciiTheme="minorHAnsi" w:hAnsiTheme="minorHAnsi"/>
          <w:sz w:val="22"/>
          <w:szCs w:val="22"/>
          <w:lang w:val="pl-PL"/>
        </w:rPr>
      </w:pPr>
      <w:r w:rsidRPr="002F3C0A">
        <w:rPr>
          <w:rFonts w:asciiTheme="minorHAnsi" w:hAnsiTheme="minorHAnsi" w:cs="Arial"/>
          <w:color w:val="333333"/>
          <w:sz w:val="22"/>
          <w:szCs w:val="22"/>
          <w:lang w:val="pl-PL"/>
        </w:rPr>
        <w:br/>
      </w:r>
    </w:p>
    <w:p w:rsidR="00D63C0E" w:rsidRDefault="00D63C0E" w:rsidP="00D63C0E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</w:p>
    <w:p w:rsidR="00D63C0E" w:rsidRDefault="00D63C0E" w:rsidP="00401F60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</w:p>
    <w:p w:rsidR="00D63C0E" w:rsidRDefault="00D63C0E" w:rsidP="00401F60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</w:p>
    <w:p w:rsidR="00D63C0E" w:rsidRDefault="00D63C0E" w:rsidP="00401F60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</w:p>
    <w:p w:rsidR="00D63C0E" w:rsidRDefault="00D63C0E" w:rsidP="00401F60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</w:p>
    <w:p w:rsidR="00D63C0E" w:rsidRDefault="00D63C0E" w:rsidP="00401F60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</w:p>
    <w:p w:rsidR="00401F60" w:rsidRPr="00401F60" w:rsidRDefault="00D63C0E" w:rsidP="00401F60">
      <w:pPr>
        <w:rPr>
          <w:lang w:val="pl-PL"/>
        </w:rPr>
      </w:pP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</w:p>
    <w:p w:rsidR="00FE12BF" w:rsidRPr="00263257" w:rsidRDefault="00FE12BF" w:rsidP="00263257">
      <w:pPr>
        <w:rPr>
          <w:lang w:val="pl-PL"/>
        </w:rPr>
      </w:pPr>
    </w:p>
    <w:sectPr w:rsidR="00FE12BF" w:rsidRPr="00263257" w:rsidSect="0032693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CC1" w:rsidRDefault="00761CC1" w:rsidP="00FE12BF">
      <w:r>
        <w:separator/>
      </w:r>
    </w:p>
  </w:endnote>
  <w:endnote w:type="continuationSeparator" w:id="0">
    <w:p w:rsidR="00761CC1" w:rsidRDefault="00761CC1" w:rsidP="00FE1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CC1" w:rsidRDefault="00761CC1" w:rsidP="00FE12BF">
      <w:r>
        <w:separator/>
      </w:r>
    </w:p>
  </w:footnote>
  <w:footnote w:type="continuationSeparator" w:id="0">
    <w:p w:rsidR="00761CC1" w:rsidRDefault="00761CC1" w:rsidP="00FE12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0F"/>
    <w:rsid w:val="000C26E4"/>
    <w:rsid w:val="001370A6"/>
    <w:rsid w:val="00263257"/>
    <w:rsid w:val="002A2F0C"/>
    <w:rsid w:val="002F3C0A"/>
    <w:rsid w:val="00326931"/>
    <w:rsid w:val="003836D9"/>
    <w:rsid w:val="00401F60"/>
    <w:rsid w:val="004B7456"/>
    <w:rsid w:val="005265A8"/>
    <w:rsid w:val="006A4C83"/>
    <w:rsid w:val="006C750F"/>
    <w:rsid w:val="00761CC1"/>
    <w:rsid w:val="00847899"/>
    <w:rsid w:val="008A53FF"/>
    <w:rsid w:val="009140B0"/>
    <w:rsid w:val="009E7076"/>
    <w:rsid w:val="009F78D4"/>
    <w:rsid w:val="00B5171B"/>
    <w:rsid w:val="00B51CA0"/>
    <w:rsid w:val="00C55061"/>
    <w:rsid w:val="00C8220F"/>
    <w:rsid w:val="00D63C0E"/>
    <w:rsid w:val="00D71FF5"/>
    <w:rsid w:val="00EC7663"/>
    <w:rsid w:val="00FE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220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8220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20F"/>
    <w:rPr>
      <w:rFonts w:ascii="Tahoma" w:hAnsi="Tahoma" w:cs="Tahoma"/>
      <w:sz w:val="16"/>
      <w:szCs w:val="16"/>
    </w:rPr>
  </w:style>
  <w:style w:type="paragraph" w:customStyle="1" w:styleId="EinfAbs">
    <w:name w:val="[Einf. Abs.]"/>
    <w:basedOn w:val="Normalny"/>
    <w:uiPriority w:val="99"/>
    <w:rsid w:val="00C8220F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FE12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12BF"/>
    <w:rPr>
      <w:rFonts w:ascii="Arial" w:eastAsia="Times New Roman" w:hAnsi="Arial" w:cs="Times New Roman"/>
      <w:sz w:val="20"/>
      <w:szCs w:val="24"/>
      <w:lang w:eastAsia="de-DE"/>
    </w:rPr>
  </w:style>
  <w:style w:type="paragraph" w:styleId="Stopka">
    <w:name w:val="footer"/>
    <w:basedOn w:val="Normalny"/>
    <w:link w:val="StopkaZnak"/>
    <w:uiPriority w:val="99"/>
    <w:unhideWhenUsed/>
    <w:rsid w:val="00FE12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12BF"/>
    <w:rPr>
      <w:rFonts w:ascii="Arial" w:eastAsia="Times New Roman" w:hAnsi="Arial" w:cs="Times New Roman"/>
      <w:sz w:val="20"/>
      <w:szCs w:val="24"/>
      <w:lang w:eastAsia="de-DE"/>
    </w:rPr>
  </w:style>
  <w:style w:type="character" w:styleId="Hipercze">
    <w:name w:val="Hyperlink"/>
    <w:basedOn w:val="Domylnaczcionkaakapitu"/>
    <w:uiPriority w:val="99"/>
    <w:semiHidden/>
    <w:unhideWhenUsed/>
    <w:rsid w:val="00401F60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401F60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A53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color w:val="00000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A53FF"/>
    <w:rPr>
      <w:rFonts w:ascii="Courier New" w:hAnsi="Courier New" w:cs="Courier New"/>
      <w:color w:val="000000"/>
      <w:sz w:val="20"/>
      <w:szCs w:val="20"/>
      <w:lang w:eastAsia="de-DE"/>
    </w:rPr>
  </w:style>
  <w:style w:type="paragraph" w:styleId="NormalnyWeb">
    <w:name w:val="Normal (Web)"/>
    <w:basedOn w:val="Normalny"/>
    <w:uiPriority w:val="99"/>
    <w:semiHidden/>
    <w:unhideWhenUsed/>
    <w:rsid w:val="008A53FF"/>
    <w:pPr>
      <w:spacing w:before="100" w:beforeAutospacing="1" w:after="100" w:afterAutospacing="1"/>
    </w:pPr>
    <w:rPr>
      <w:rFonts w:ascii="Times New Roman" w:eastAsiaTheme="minorHAnsi" w:hAnsi="Times New Roman"/>
      <w:color w:val="000000"/>
      <w:sz w:val="24"/>
    </w:rPr>
  </w:style>
  <w:style w:type="paragraph" w:customStyle="1" w:styleId="gwpdf9b2eaemsonormal">
    <w:name w:val="gwpdf9b2eae_msonormal"/>
    <w:basedOn w:val="Normalny"/>
    <w:rsid w:val="002F3C0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gwpdf9b2eaem1836273715615488939size">
    <w:name w:val="gwpdf9b2eae_m_1836273715615488939size"/>
    <w:basedOn w:val="Domylnaczcionkaakapitu"/>
    <w:rsid w:val="002F3C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220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8220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20F"/>
    <w:rPr>
      <w:rFonts w:ascii="Tahoma" w:hAnsi="Tahoma" w:cs="Tahoma"/>
      <w:sz w:val="16"/>
      <w:szCs w:val="16"/>
    </w:rPr>
  </w:style>
  <w:style w:type="paragraph" w:customStyle="1" w:styleId="EinfAbs">
    <w:name w:val="[Einf. Abs.]"/>
    <w:basedOn w:val="Normalny"/>
    <w:uiPriority w:val="99"/>
    <w:rsid w:val="00C8220F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FE12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12BF"/>
    <w:rPr>
      <w:rFonts w:ascii="Arial" w:eastAsia="Times New Roman" w:hAnsi="Arial" w:cs="Times New Roman"/>
      <w:sz w:val="20"/>
      <w:szCs w:val="24"/>
      <w:lang w:eastAsia="de-DE"/>
    </w:rPr>
  </w:style>
  <w:style w:type="paragraph" w:styleId="Stopka">
    <w:name w:val="footer"/>
    <w:basedOn w:val="Normalny"/>
    <w:link w:val="StopkaZnak"/>
    <w:uiPriority w:val="99"/>
    <w:unhideWhenUsed/>
    <w:rsid w:val="00FE12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12BF"/>
    <w:rPr>
      <w:rFonts w:ascii="Arial" w:eastAsia="Times New Roman" w:hAnsi="Arial" w:cs="Times New Roman"/>
      <w:sz w:val="20"/>
      <w:szCs w:val="24"/>
      <w:lang w:eastAsia="de-DE"/>
    </w:rPr>
  </w:style>
  <w:style w:type="character" w:styleId="Hipercze">
    <w:name w:val="Hyperlink"/>
    <w:basedOn w:val="Domylnaczcionkaakapitu"/>
    <w:uiPriority w:val="99"/>
    <w:semiHidden/>
    <w:unhideWhenUsed/>
    <w:rsid w:val="00401F60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401F60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A53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color w:val="00000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A53FF"/>
    <w:rPr>
      <w:rFonts w:ascii="Courier New" w:hAnsi="Courier New" w:cs="Courier New"/>
      <w:color w:val="000000"/>
      <w:sz w:val="20"/>
      <w:szCs w:val="20"/>
      <w:lang w:eastAsia="de-DE"/>
    </w:rPr>
  </w:style>
  <w:style w:type="paragraph" w:styleId="NormalnyWeb">
    <w:name w:val="Normal (Web)"/>
    <w:basedOn w:val="Normalny"/>
    <w:uiPriority w:val="99"/>
    <w:semiHidden/>
    <w:unhideWhenUsed/>
    <w:rsid w:val="008A53FF"/>
    <w:pPr>
      <w:spacing w:before="100" w:beforeAutospacing="1" w:after="100" w:afterAutospacing="1"/>
    </w:pPr>
    <w:rPr>
      <w:rFonts w:ascii="Times New Roman" w:eastAsiaTheme="minorHAnsi" w:hAnsi="Times New Roman"/>
      <w:color w:val="000000"/>
      <w:sz w:val="24"/>
    </w:rPr>
  </w:style>
  <w:style w:type="paragraph" w:customStyle="1" w:styleId="gwpdf9b2eaemsonormal">
    <w:name w:val="gwpdf9b2eae_msonormal"/>
    <w:basedOn w:val="Normalny"/>
    <w:rsid w:val="002F3C0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gwpdf9b2eaem1836273715615488939size">
    <w:name w:val="gwpdf9b2eae_m_1836273715615488939size"/>
    <w:basedOn w:val="Domylnaczcionkaakapitu"/>
    <w:rsid w:val="002F3C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4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536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Pentair</Company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Kaminska, Agata</dc:creator>
  <cp:lastModifiedBy>UGK-Zamówienia-LP</cp:lastModifiedBy>
  <cp:revision>2</cp:revision>
  <cp:lastPrinted>2017-06-21T12:55:00Z</cp:lastPrinted>
  <dcterms:created xsi:type="dcterms:W3CDTF">2017-08-30T12:45:00Z</dcterms:created>
  <dcterms:modified xsi:type="dcterms:W3CDTF">2017-08-30T12:45:00Z</dcterms:modified>
</cp:coreProperties>
</file>