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D3136E">
        <w:rPr>
          <w:rFonts w:asciiTheme="minorHAnsi" w:hAnsiTheme="minorHAnsi" w:cstheme="minorHAnsi"/>
          <w:sz w:val="24"/>
          <w:szCs w:val="24"/>
        </w:rPr>
        <w:t>Zarządzenia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D3136E">
        <w:rPr>
          <w:rFonts w:asciiTheme="minorHAnsi" w:hAnsiTheme="minorHAnsi" w:cstheme="minorHAnsi"/>
          <w:sz w:val="24"/>
          <w:szCs w:val="24"/>
        </w:rPr>
        <w:t xml:space="preserve"> 66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F72F4E">
        <w:rPr>
          <w:rFonts w:asciiTheme="minorHAnsi" w:hAnsiTheme="minorHAnsi" w:cstheme="minorHAnsi"/>
          <w:sz w:val="24"/>
          <w:szCs w:val="24"/>
        </w:rPr>
        <w:t>Wójta</w:t>
      </w:r>
      <w:bookmarkStart w:id="0" w:name="_GoBack"/>
      <w:bookmarkEnd w:id="0"/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D3136E">
        <w:rPr>
          <w:rFonts w:asciiTheme="minorHAnsi" w:hAnsiTheme="minorHAnsi" w:cstheme="minorHAnsi"/>
          <w:sz w:val="24"/>
          <w:szCs w:val="24"/>
        </w:rPr>
        <w:t>18</w:t>
      </w:r>
      <w:r w:rsidR="007E75EB">
        <w:rPr>
          <w:rFonts w:asciiTheme="minorHAnsi" w:hAnsiTheme="minorHAnsi" w:cstheme="minorHAnsi"/>
          <w:sz w:val="24"/>
          <w:szCs w:val="24"/>
        </w:rPr>
        <w:t xml:space="preserve"> listopada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D3136E" w:rsidRDefault="00D3136E" w:rsidP="00D3136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18 LISTOPADA 2019 ROKU (ZARZĄDZENIE WÓJTA GMINY KRZĘCIN NR 66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Default="00D3136E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ind w:left="714" w:hanging="357"/>
        <w:contextualSpacing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3136E">
        <w:rPr>
          <w:rFonts w:ascii="Calibri" w:hAnsi="Calibri" w:cs="Calibri"/>
          <w:bCs/>
          <w:sz w:val="24"/>
          <w:szCs w:val="24"/>
        </w:rPr>
        <w:t xml:space="preserve">Emisja obligacji konsolidacyjnych ma na celu </w:t>
      </w:r>
      <w:r w:rsidR="006125F5">
        <w:rPr>
          <w:rFonts w:ascii="Calibri" w:hAnsi="Calibri" w:cs="Calibri"/>
          <w:bCs/>
          <w:sz w:val="24"/>
          <w:szCs w:val="24"/>
        </w:rPr>
        <w:t xml:space="preserve">pozyskanie środków finansowych </w:t>
      </w:r>
      <w:r w:rsidR="009F47FF">
        <w:rPr>
          <w:rFonts w:ascii="Calibri" w:hAnsi="Calibri" w:cs="Calibri"/>
          <w:bCs/>
          <w:sz w:val="24"/>
          <w:szCs w:val="24"/>
        </w:rPr>
        <w:br/>
        <w:t>z</w:t>
      </w:r>
      <w:r w:rsidR="006125F5">
        <w:rPr>
          <w:rFonts w:ascii="Calibri" w:hAnsi="Calibri" w:cs="Calibri"/>
          <w:bCs/>
          <w:sz w:val="24"/>
          <w:szCs w:val="24"/>
        </w:rPr>
        <w:t xml:space="preserve"> przeznaczeniem na spłatę </w:t>
      </w:r>
      <w:r w:rsidR="009F47FF">
        <w:rPr>
          <w:rFonts w:ascii="Calibri" w:hAnsi="Calibri" w:cs="Calibri"/>
          <w:bCs/>
          <w:sz w:val="24"/>
          <w:szCs w:val="24"/>
        </w:rPr>
        <w:t xml:space="preserve">wytypowanych zobowiązań i uzyskanie w ten sposób oszczędności dla Gminy. Zgodnie z przeprowadzoną </w:t>
      </w:r>
      <w:r w:rsidR="00164909">
        <w:rPr>
          <w:rFonts w:ascii="Calibri" w:hAnsi="Calibri" w:cs="Calibri"/>
          <w:bCs/>
          <w:sz w:val="24"/>
          <w:szCs w:val="24"/>
        </w:rPr>
        <w:t>kalkulacją, suma odsetek</w:t>
      </w:r>
      <w:r w:rsidR="009F47FF">
        <w:rPr>
          <w:rFonts w:ascii="Calibri" w:hAnsi="Calibri" w:cs="Calibri"/>
          <w:bCs/>
          <w:sz w:val="24"/>
          <w:szCs w:val="24"/>
        </w:rPr>
        <w:t xml:space="preserve"> po konsolidacji </w:t>
      </w:r>
      <w:r w:rsidR="00164909">
        <w:rPr>
          <w:rFonts w:ascii="Calibri" w:hAnsi="Calibri" w:cs="Calibri"/>
          <w:bCs/>
          <w:sz w:val="24"/>
          <w:szCs w:val="24"/>
        </w:rPr>
        <w:t>obligacjami</w:t>
      </w:r>
      <w:r w:rsidR="0022240A">
        <w:rPr>
          <w:rFonts w:ascii="Calibri" w:hAnsi="Calibri" w:cs="Calibri"/>
          <w:bCs/>
          <w:sz w:val="24"/>
          <w:szCs w:val="24"/>
        </w:rPr>
        <w:t xml:space="preserve"> jest niższa od sumy odsetek przed konsolidacją. Dodatkowo założono, że emisja będzie miała miejsce do 30.11.2019 roku, a płatności kuponu odsetkowego 14 maja i 14 listopada każdego roku. W wyniku zmniejszenia marży ponad stawkę zmienną WIBOR, zakłada się osiągnięcie następujących celów: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struktury spłaty zobowiązań na korzystniejszą (zmniejszenie obciążeń </w:t>
      </w:r>
      <w:r>
        <w:rPr>
          <w:rFonts w:ascii="Calibri" w:hAnsi="Calibri" w:cs="Calibri"/>
          <w:bCs/>
          <w:sz w:val="24"/>
          <w:szCs w:val="24"/>
        </w:rPr>
        <w:br/>
        <w:t>z tytułu wykupu obligacji w pierwszych latach programu emisji),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uzyskanie oszczędności w zakresie kosztów obsługi zrestrukturyzowanego długu,</w:t>
      </w:r>
    </w:p>
    <w:p w:rsidR="0022240A" w:rsidRDefault="0022240A" w:rsidP="0022240A">
      <w:pPr>
        <w:pStyle w:val="Akapitzlist"/>
        <w:numPr>
          <w:ilvl w:val="0"/>
          <w:numId w:val="13"/>
        </w:numPr>
        <w:tabs>
          <w:tab w:val="left" w:pos="5103"/>
        </w:tabs>
        <w:suppressAutoHyphens/>
        <w:autoSpaceDN w:val="0"/>
        <w:spacing w:line="360" w:lineRule="auto"/>
        <w:ind w:left="1077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możliwość sfinansowania deficytu zobowiązaniem o dłuższym terminie wymagalności.</w:t>
      </w:r>
    </w:p>
    <w:p w:rsidR="0022240A" w:rsidRDefault="0022240A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Założenia dotyczące ceny oraz harmonogramu spłat zobowiązań Gminy spełniają te wymagania.</w:t>
      </w:r>
    </w:p>
    <w:p w:rsidR="00FC39F8" w:rsidRDefault="00FC39F8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Zmiana harmonogramu spłat zobowiązań (przesunięcie spłat z lat 2021 – 2022) na lata późniejsze, powoduje wzrost kosztów odsetkowych, jednak jest on nadal niższy niż przed konsolidacją</w:t>
      </w:r>
      <w:r w:rsidR="00164909">
        <w:rPr>
          <w:rFonts w:ascii="Calibri" w:hAnsi="Calibri" w:cs="Calibri"/>
          <w:bCs/>
          <w:sz w:val="24"/>
          <w:szCs w:val="24"/>
        </w:rPr>
        <w:t xml:space="preserve"> (1 438 045,54 zł)</w:t>
      </w:r>
      <w:r>
        <w:rPr>
          <w:rFonts w:ascii="Calibri" w:hAnsi="Calibri" w:cs="Calibri"/>
          <w:bCs/>
          <w:sz w:val="24"/>
          <w:szCs w:val="24"/>
        </w:rPr>
        <w:t xml:space="preserve">, co wypełnia ustawowy warunek jej przeprowadzenia, poza wskaźnikiem obsługi długu z art. 243 </w:t>
      </w:r>
      <w:proofErr w:type="spellStart"/>
      <w:r>
        <w:rPr>
          <w:rFonts w:ascii="Calibri" w:hAnsi="Calibri" w:cs="Calibri"/>
          <w:bCs/>
          <w:sz w:val="24"/>
          <w:szCs w:val="24"/>
        </w:rPr>
        <w:t>UoFP</w:t>
      </w:r>
      <w:proofErr w:type="spellEnd"/>
      <w:r>
        <w:rPr>
          <w:rFonts w:ascii="Calibri" w:hAnsi="Calibri" w:cs="Calibri"/>
          <w:bCs/>
          <w:sz w:val="24"/>
          <w:szCs w:val="24"/>
        </w:rPr>
        <w:t>.</w:t>
      </w:r>
    </w:p>
    <w:p w:rsidR="007A3F96" w:rsidRPr="0022240A" w:rsidRDefault="007A3F96" w:rsidP="0022240A">
      <w:pPr>
        <w:tabs>
          <w:tab w:val="left" w:pos="5103"/>
        </w:tabs>
        <w:suppressAutoHyphens/>
        <w:autoSpaceDN w:val="0"/>
        <w:spacing w:line="360" w:lineRule="auto"/>
        <w:ind w:left="720"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ze zmianą okresu spłaty zakłada się, iż oprocentowanie dotyczące obligacji konsolidacyjnych nie przekroczy 2,99%, a pozostałych 3,29%. </w:t>
      </w:r>
    </w:p>
    <w:p w:rsidR="0022240A" w:rsidRDefault="007A3F96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Spłata całego długu w jednym roku powoduje przekroczenia dopuszczalnego wskaźnika spłat. Przekroczenie to w 2019 roku jest dozwolone w zaproponowanej wersji konsolidacji na podstawie odpowiednich przepisów ustawy (jeśli koszt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zobowiązania po konsolidacji jest niższy niż przed – w tym wypadku sytuacja ta występuje). </w:t>
      </w:r>
    </w:p>
    <w:p w:rsidR="000773E7" w:rsidRDefault="000773E7" w:rsidP="0022240A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Harmonogram spłat i kalkulacja odsetek:</w:t>
      </w:r>
    </w:p>
    <w:tbl>
      <w:tblPr>
        <w:tblStyle w:val="Tabela-Siatka"/>
        <w:tblW w:w="10651" w:type="dxa"/>
        <w:tblInd w:w="-520" w:type="dxa"/>
        <w:tblLook w:val="04A0" w:firstRow="1" w:lastRow="0" w:firstColumn="1" w:lastColumn="0" w:noHBand="0" w:noVBand="1"/>
      </w:tblPr>
      <w:tblGrid>
        <w:gridCol w:w="818"/>
        <w:gridCol w:w="1271"/>
        <w:gridCol w:w="1271"/>
        <w:gridCol w:w="1271"/>
        <w:gridCol w:w="1124"/>
        <w:gridCol w:w="1271"/>
        <w:gridCol w:w="1271"/>
        <w:gridCol w:w="1177"/>
        <w:gridCol w:w="1177"/>
      </w:tblGrid>
      <w:tr w:rsidR="00535A90" w:rsidRPr="000773E7" w:rsidTr="001B7C85">
        <w:tc>
          <w:tcPr>
            <w:tcW w:w="818" w:type="dxa"/>
            <w:vMerge w:val="restart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KONSOLIDACJA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395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DEFICYT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(OBLIGACJE)</w:t>
            </w:r>
          </w:p>
        </w:tc>
        <w:tc>
          <w:tcPr>
            <w:tcW w:w="2542" w:type="dxa"/>
            <w:gridSpan w:val="2"/>
            <w:shd w:val="clear" w:color="auto" w:fill="BFBFBF" w:themeFill="background1" w:themeFillShade="BF"/>
            <w:vAlign w:val="center"/>
          </w:tcPr>
          <w:p w:rsidR="00535A90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SUMA DO KONSOLIDACJ</w:t>
            </w:r>
          </w:p>
          <w:p w:rsidR="004B5E59" w:rsidRPr="000773E7" w:rsidRDefault="004B5E59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(KREDYTY/POŻYCZKI)</w:t>
            </w:r>
          </w:p>
        </w:tc>
        <w:tc>
          <w:tcPr>
            <w:tcW w:w="2354" w:type="dxa"/>
            <w:gridSpan w:val="2"/>
            <w:shd w:val="clear" w:color="auto" w:fill="BFBFBF" w:themeFill="background1" w:themeFillShade="BF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RÓŻNICA W KONSOLIDACJI</w:t>
            </w:r>
          </w:p>
        </w:tc>
      </w:tr>
      <w:tr w:rsidR="00535A90" w:rsidRPr="000773E7" w:rsidTr="001B7C85">
        <w:tc>
          <w:tcPr>
            <w:tcW w:w="818" w:type="dxa"/>
            <w:vMerge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 w:rsidRPr="000773E7"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KAPITAŁ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0773E7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center"/>
              <w:textAlignment w:val="baseline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ODSETKI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 xml:space="preserve">2019 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27 964,00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-27 964,00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250 000,00</w:t>
            </w:r>
          </w:p>
        </w:tc>
        <w:tc>
          <w:tcPr>
            <w:tcW w:w="1271" w:type="dxa"/>
            <w:vAlign w:val="center"/>
          </w:tcPr>
          <w:p w:rsidR="00535A90" w:rsidRPr="00955D85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208 699,39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255 000,00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221 190,00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5 000,00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-12 490,61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196 875,66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709 090,00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208 373,00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-209 090,00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-11 497,34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181 925,66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186 911,00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-89 312,00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-4 985,34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165 468,37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168 576,00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-3 107,63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147 957,33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150 671,00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-2 713,67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129 588,36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131 905,00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-2 316,64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2026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111 648,37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113 570,00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-1 921,63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93 708,38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95 235,00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-1 526,62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76 000,73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43 331,73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77 130,00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-1 129,27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2029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57 828,37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589 313,00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58 565,00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10 687,00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-736,63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39 888,38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41 403,00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-1 514,62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2031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600 000,00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21 948,37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43 213,34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25 616,00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80 688,00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-3 667,63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2032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591 525,00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6 508,17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163 475,00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40 620,45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519 312,00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9 872,00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72 213,00</w:t>
            </w:r>
          </w:p>
        </w:tc>
        <w:tc>
          <w:tcPr>
            <w:tcW w:w="1177" w:type="dxa"/>
          </w:tcPr>
          <w:p w:rsidR="00535A90" w:rsidRPr="00955D85" w:rsidRDefault="00485ADC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-3 363,83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2033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445 000,00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27 883,87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955D85" w:rsidTr="00955D85">
        <w:tc>
          <w:tcPr>
            <w:tcW w:w="818" w:type="dxa"/>
          </w:tcPr>
          <w:p w:rsidR="00535A90" w:rsidRPr="00955D85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2034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550 000,00</w:t>
            </w:r>
          </w:p>
        </w:tc>
        <w:tc>
          <w:tcPr>
            <w:tcW w:w="1124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8 973,14</w:t>
            </w:r>
          </w:p>
        </w:tc>
        <w:tc>
          <w:tcPr>
            <w:tcW w:w="1271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  <w:vAlign w:val="center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  <w:tc>
          <w:tcPr>
            <w:tcW w:w="1177" w:type="dxa"/>
          </w:tcPr>
          <w:p w:rsidR="00535A90" w:rsidRPr="00955D85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Cs/>
                <w:sz w:val="18"/>
                <w:szCs w:val="18"/>
              </w:rPr>
            </w:pPr>
            <w:r w:rsidRPr="00955D85">
              <w:rPr>
                <w:rFonts w:ascii="Calibri" w:hAnsi="Calibri" w:cs="Calibri"/>
                <w:bCs/>
                <w:sz w:val="18"/>
                <w:szCs w:val="18"/>
              </w:rPr>
              <w:t>0,00</w:t>
            </w:r>
          </w:p>
        </w:tc>
      </w:tr>
      <w:tr w:rsidR="00535A90" w:rsidRPr="0079243D" w:rsidTr="001B7C85">
        <w:tc>
          <w:tcPr>
            <w:tcW w:w="818" w:type="dxa"/>
            <w:shd w:val="clear" w:color="auto" w:fill="D9D9D9" w:themeFill="background1" w:themeFillShade="D9"/>
          </w:tcPr>
          <w:p w:rsidR="00535A90" w:rsidRPr="0079243D" w:rsidRDefault="00535A90" w:rsidP="000773E7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both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243D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535A90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1 438 045,54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1 158 475,00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596 392,71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7 241 525,00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535A90" w:rsidRPr="0079243D" w:rsidRDefault="00955D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1 516 </w:t>
            </w:r>
            <w:r w:rsidR="00020A88">
              <w:rPr>
                <w:rFonts w:ascii="Calibri" w:hAnsi="Calibri" w:cs="Calibri"/>
                <w:b/>
                <w:bCs/>
                <w:sz w:val="20"/>
                <w:szCs w:val="20"/>
              </w:rPr>
              <w:t>981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177" w:type="dxa"/>
            <w:shd w:val="clear" w:color="auto" w:fill="D9D9D9" w:themeFill="background1" w:themeFillShade="D9"/>
            <w:vAlign w:val="center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535A90" w:rsidRPr="0079243D" w:rsidRDefault="001B7C85" w:rsidP="0079243D">
            <w:pPr>
              <w:tabs>
                <w:tab w:val="left" w:pos="5103"/>
              </w:tabs>
              <w:suppressAutoHyphens/>
              <w:autoSpaceDN w:val="0"/>
              <w:spacing w:line="360" w:lineRule="auto"/>
              <w:ind w:firstLine="0"/>
              <w:jc w:val="righ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-78</w:t>
            </w:r>
            <w:r w:rsidR="00F86A0C">
              <w:rPr>
                <w:rFonts w:ascii="Calibri" w:hAnsi="Calibri" w:cs="Calibri"/>
                <w:b/>
                <w:bCs/>
                <w:sz w:val="20"/>
                <w:szCs w:val="20"/>
              </w:rPr>
              <w:t> 935,46</w:t>
            </w:r>
          </w:p>
        </w:tc>
      </w:tr>
    </w:tbl>
    <w:p w:rsid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020A88" w:rsidRDefault="00020A88" w:rsidP="00020A88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Prognozuje się, iż kwota obsługi długu w 2019 roku powinna wynieść łącznie 213 409,50 zł.</w:t>
      </w:r>
    </w:p>
    <w:p w:rsidR="00020A88" w:rsidRPr="00020A88" w:rsidRDefault="00020A88" w:rsidP="00020A88">
      <w:pPr>
        <w:tabs>
          <w:tab w:val="left" w:pos="5103"/>
        </w:tabs>
        <w:suppressAutoHyphens/>
        <w:autoSpaceDN w:val="0"/>
        <w:spacing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1C4CCD">
        <w:rPr>
          <w:rFonts w:ascii="Calibri" w:hAnsi="Calibri" w:cs="Calibri"/>
          <w:b/>
          <w:bCs/>
          <w:sz w:val="24"/>
          <w:szCs w:val="24"/>
          <w:u w:val="single"/>
        </w:rPr>
        <w:t>RADY GMINY NR IX/82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24550D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926 136,32</w:t>
      </w:r>
      <w:r w:rsidRPr="007E75EB">
        <w:rPr>
          <w:rFonts w:ascii="Calibri" w:hAnsi="Calibri" w:cs="Calibri"/>
          <w:bCs/>
          <w:sz w:val="24"/>
          <w:szCs w:val="24"/>
        </w:rPr>
        <w:t xml:space="preserve"> zł (</w:t>
      </w:r>
      <w:r>
        <w:rPr>
          <w:rFonts w:ascii="Calibri" w:hAnsi="Calibri" w:cs="Calibri"/>
          <w:bCs/>
          <w:sz w:val="24"/>
          <w:szCs w:val="24"/>
        </w:rPr>
        <w:t xml:space="preserve">kolumna 1) – w tym dochody bieżące o kwotę </w:t>
      </w:r>
      <w:r w:rsidR="005133C9" w:rsidRPr="007E75EB">
        <w:rPr>
          <w:rFonts w:ascii="Calibri" w:hAnsi="Calibri" w:cs="Calibri"/>
          <w:bCs/>
          <w:sz w:val="24"/>
          <w:szCs w:val="24"/>
        </w:rPr>
        <w:t>922 005,98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dochody majątkowe o kwotę </w:t>
      </w:r>
      <w:r w:rsidR="00B84D7A" w:rsidRPr="00CD6931">
        <w:rPr>
          <w:rFonts w:ascii="Calibri" w:hAnsi="Calibri" w:cs="Calibri"/>
          <w:bCs/>
          <w:sz w:val="24"/>
          <w:szCs w:val="24"/>
        </w:rPr>
        <w:t>4 130,64</w:t>
      </w:r>
      <w:r w:rsidRPr="00CD6931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 budżecie od dnia </w:t>
      </w:r>
      <w:r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C6343C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2 084 611,62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 xml:space="preserve">(kolumna 2) – w tym wydatki bieżące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941 435,42</w:t>
      </w:r>
      <w:r w:rsidRPr="007E75EB">
        <w:rPr>
          <w:rFonts w:ascii="Calibri" w:hAnsi="Calibri" w:cs="Calibri"/>
          <w:bCs/>
          <w:sz w:val="24"/>
          <w:szCs w:val="24"/>
        </w:rPr>
        <w:t xml:space="preserve"> zł i </w:t>
      </w:r>
      <w:r>
        <w:rPr>
          <w:rFonts w:ascii="Calibri" w:hAnsi="Calibri" w:cs="Calibri"/>
          <w:bCs/>
          <w:sz w:val="24"/>
          <w:szCs w:val="24"/>
        </w:rPr>
        <w:t xml:space="preserve">wydatki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majątkowe o kwotę </w:t>
      </w:r>
      <w:r w:rsidR="00D93F1D" w:rsidRPr="007E75EB">
        <w:rPr>
          <w:rFonts w:ascii="Calibri" w:hAnsi="Calibri" w:cs="Calibri"/>
          <w:bCs/>
          <w:sz w:val="24"/>
          <w:szCs w:val="24"/>
        </w:rPr>
        <w:t>1 143 176</w:t>
      </w:r>
      <w:r w:rsidR="00022C85" w:rsidRPr="007E75EB">
        <w:rPr>
          <w:rFonts w:ascii="Calibri" w:hAnsi="Calibri" w:cs="Calibri"/>
          <w:bCs/>
          <w:sz w:val="24"/>
          <w:szCs w:val="24"/>
        </w:rPr>
        <w:t>,20</w:t>
      </w:r>
      <w:r w:rsidRPr="007E75EB"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bCs/>
          <w:sz w:val="24"/>
          <w:szCs w:val="24"/>
        </w:rPr>
        <w:t>- zgodnie ze</w:t>
      </w:r>
      <w:r w:rsidR="002D7DA1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>
        <w:rPr>
          <w:rFonts w:ascii="Calibri" w:hAnsi="Calibri" w:cs="Calibri"/>
          <w:bCs/>
          <w:sz w:val="24"/>
          <w:szCs w:val="24"/>
        </w:rPr>
        <w:br/>
        <w:t>19 września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C0688F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Wprowadza się warto</w:t>
      </w:r>
      <w:r w:rsidR="001D5A89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>
        <w:rPr>
          <w:rFonts w:ascii="Calibri" w:hAnsi="Calibri" w:cs="Calibri"/>
          <w:bCs/>
          <w:sz w:val="24"/>
          <w:szCs w:val="24"/>
        </w:rPr>
        <w:br/>
      </w:r>
      <w:r w:rsidR="001D5A89" w:rsidRPr="00C0688F">
        <w:rPr>
          <w:rFonts w:ascii="Calibri" w:hAnsi="Calibri" w:cs="Calibri"/>
          <w:bCs/>
          <w:sz w:val="24"/>
          <w:szCs w:val="24"/>
        </w:rPr>
        <w:t>z przeznaczeniem</w:t>
      </w:r>
      <w:r w:rsidRPr="00C0688F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C0688F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C0688F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C0688F">
        <w:rPr>
          <w:rFonts w:ascii="Calibri" w:hAnsi="Calibri" w:cs="Calibri"/>
          <w:bCs/>
          <w:sz w:val="24"/>
          <w:szCs w:val="24"/>
        </w:rPr>
        <w:t>) oraz na</w:t>
      </w:r>
      <w:r w:rsidRPr="00C0688F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C0688F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C0688F">
        <w:rPr>
          <w:rFonts w:ascii="Calibri" w:hAnsi="Calibri" w:cs="Calibri"/>
          <w:bCs/>
          <w:sz w:val="24"/>
          <w:szCs w:val="24"/>
        </w:rPr>
        <w:t>zł</w:t>
      </w:r>
      <w:r w:rsidR="001D5A89" w:rsidRPr="00C0688F">
        <w:rPr>
          <w:rFonts w:ascii="Calibri" w:hAnsi="Calibri" w:cs="Calibri"/>
          <w:bCs/>
          <w:sz w:val="24"/>
          <w:szCs w:val="24"/>
        </w:rPr>
        <w:t>)</w:t>
      </w:r>
      <w:r w:rsidRPr="00C0688F"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 xml:space="preserve">wyniku budżetu </w:t>
      </w:r>
      <w:r w:rsidR="00887C6F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>
        <w:rPr>
          <w:rFonts w:ascii="Calibri" w:hAnsi="Calibri" w:cs="Calibri"/>
          <w:bCs/>
          <w:sz w:val="24"/>
          <w:szCs w:val="24"/>
        </w:rPr>
        <w:t>(kolumna 3).</w:t>
      </w:r>
    </w:p>
    <w:p w:rsidR="00C6343C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</w:t>
      </w:r>
      <w:r w:rsidR="00C6343C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3</w:t>
      </w:r>
      <w:r w:rsidR="00660BEE">
        <w:rPr>
          <w:rFonts w:ascii="Calibri" w:hAnsi="Calibri" w:cs="Calibri"/>
          <w:bCs/>
          <w:sz w:val="24"/>
          <w:szCs w:val="24"/>
        </w:rPr>
        <w:t> 363 713,75</w:t>
      </w:r>
      <w:r w:rsidR="00C6343C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 tytułu zmiany planu rozchodów, zmienia się wartości nadwyżek b</w:t>
      </w:r>
      <w:r w:rsidR="00887C6F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>
        <w:rPr>
          <w:rFonts w:ascii="Calibri" w:hAnsi="Calibri" w:cs="Calibri"/>
          <w:bCs/>
          <w:sz w:val="24"/>
          <w:szCs w:val="24"/>
        </w:rPr>
        <w:br/>
        <w:t>w latach 2020 – 2034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>
        <w:rPr>
          <w:rFonts w:ascii="Calibri" w:hAnsi="Calibri" w:cs="Calibri"/>
          <w:bCs/>
          <w:sz w:val="24"/>
          <w:szCs w:val="24"/>
        </w:rPr>
        <w:t>prognozy długu trwa do roku 2034</w:t>
      </w:r>
      <w:r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C6343C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>
        <w:rPr>
          <w:rFonts w:ascii="Calibri" w:hAnsi="Calibri" w:cs="Calibri"/>
          <w:bCs/>
          <w:sz w:val="24"/>
          <w:szCs w:val="24"/>
        </w:rPr>
        <w:t>2019 – 203</w:t>
      </w:r>
      <w:r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410043" w:rsidRPr="007E75EB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7E75EB">
        <w:rPr>
          <w:rFonts w:ascii="Calibri" w:hAnsi="Calibri"/>
          <w:sz w:val="24"/>
          <w:szCs w:val="24"/>
        </w:rPr>
        <w:t xml:space="preserve"> współfinansowane </w:t>
      </w:r>
      <w:r w:rsidR="00792F54" w:rsidRPr="007E75EB">
        <w:rPr>
          <w:rFonts w:ascii="Calibri" w:hAnsi="Calibri"/>
          <w:sz w:val="24"/>
          <w:szCs w:val="24"/>
        </w:rPr>
        <w:br/>
        <w:t>ze środków Unii Europejskiej</w:t>
      </w:r>
      <w:r w:rsidRPr="007E75EB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7E75EB">
        <w:rPr>
          <w:rFonts w:ascii="Calibri" w:hAnsi="Calibri"/>
          <w:sz w:val="24"/>
          <w:szCs w:val="24"/>
        </w:rPr>
        <w:br/>
      </w:r>
      <w:r w:rsidRPr="007E75EB">
        <w:rPr>
          <w:rFonts w:ascii="Calibri" w:hAnsi="Calibri"/>
          <w:sz w:val="24"/>
          <w:szCs w:val="24"/>
        </w:rPr>
        <w:t>o dofinansowanie, tj.: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lastRenderedPageBreak/>
        <w:t xml:space="preserve">Województwo Zachodniopomorskie - umowa nr 00340-6935-UM1610515/18 </w:t>
      </w:r>
      <w:r w:rsidRPr="007E75EB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zespołach rekreacyjno – sportowych oraz remont placów zabaw </w:t>
      </w:r>
      <w:r w:rsidRPr="007E75EB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410043" w:rsidRPr="007E75EB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7E75EB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7E75EB">
        <w:rPr>
          <w:rFonts w:ascii="Calibri" w:hAnsi="Calibri"/>
          <w:sz w:val="24"/>
          <w:szCs w:val="24"/>
        </w:rPr>
        <w:t>,</w:t>
      </w:r>
    </w:p>
    <w:p w:rsidR="002B16A2" w:rsidRPr="007E75EB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7E75EB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7E75EB">
        <w:rPr>
          <w:rFonts w:ascii="Calibri" w:hAnsi="Calibri"/>
          <w:sz w:val="24"/>
          <w:szCs w:val="24"/>
        </w:rPr>
        <w:br/>
        <w:t>z dnia 11 lutego 2019 roku na realizację zadania „Zagospodarowanie terenu nad jeziorem Krzęcińskim polegające na budowie ścieżki spacerowo – rowerowej szerokości 2,0 m, budowie dwóch pawilonów socjalnych oraz innych elementów małej architektury wraz z przebudową drogi gminnej”</w:t>
      </w:r>
    </w:p>
    <w:p w:rsidR="00974EE6" w:rsidRDefault="00974EE6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533523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="00976B9B">
        <w:rPr>
          <w:rFonts w:ascii="Calibri" w:hAnsi="Calibri" w:cs="Calibri"/>
          <w:bCs/>
          <w:sz w:val="24"/>
          <w:szCs w:val="24"/>
        </w:rPr>
        <w:t xml:space="preserve">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</w:t>
      </w:r>
      <w:r>
        <w:rPr>
          <w:rFonts w:ascii="Calibri" w:hAnsi="Calibri" w:cs="Calibri"/>
          <w:bCs/>
          <w:sz w:val="24"/>
          <w:szCs w:val="24"/>
        </w:rPr>
        <w:lastRenderedPageBreak/>
        <w:t>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 xml:space="preserve">, w tym dochody bieżące: 276 960,53 zł (z tytułu niewykorzystanych środków w 2018 roku, a których wartość zgodnie z przepisami przechodzi na następny rok budżetowy oraz z tytułu rozliczeń podatku VAT z lat </w:t>
      </w:r>
      <w:r>
        <w:rPr>
          <w:rFonts w:ascii="Calibri" w:hAnsi="Calibri" w:cs="Calibri"/>
          <w:bCs/>
          <w:sz w:val="24"/>
          <w:szCs w:val="24"/>
        </w:rPr>
        <w:lastRenderedPageBreak/>
        <w:t>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</w:t>
      </w:r>
      <w:proofErr w:type="spellStart"/>
      <w:r w:rsidR="00950045">
        <w:rPr>
          <w:rFonts w:asciiTheme="minorHAnsi" w:hAnsiTheme="minorHAnsi" w:cstheme="minorHAnsi"/>
          <w:bCs/>
          <w:sz w:val="24"/>
          <w:szCs w:val="24"/>
        </w:rPr>
        <w:t>podatkuza</w:t>
      </w:r>
      <w:proofErr w:type="spellEnd"/>
      <w:r w:rsidR="00950045">
        <w:rPr>
          <w:rFonts w:asciiTheme="minorHAnsi" w:hAnsiTheme="minorHAnsi" w:cstheme="minorHAnsi"/>
          <w:bCs/>
          <w:sz w:val="24"/>
          <w:szCs w:val="24"/>
        </w:rPr>
        <w:t xml:space="preserve">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</w:t>
      </w:r>
      <w:r w:rsidR="00950045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 xml:space="preserve">, zachowuje się zasadę ostrożności w realizacji </w:t>
      </w:r>
      <w:r w:rsidR="00BF13A4" w:rsidRPr="00BF13A4">
        <w:rPr>
          <w:rFonts w:ascii="Calibri" w:hAnsi="Calibri"/>
          <w:sz w:val="24"/>
          <w:szCs w:val="24"/>
        </w:rPr>
        <w:lastRenderedPageBreak/>
        <w:t>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 latach kolejnych tj. od 2021 - 2032 przyjęto średnioroczny wzrost wydatków bieżących o około 2,0 % w stosunku do roku poprzedniego (uwzględnia się wzrost cen, </w:t>
      </w:r>
      <w:r w:rsidRPr="00BF13A4">
        <w:rPr>
          <w:rFonts w:ascii="Calibri" w:hAnsi="Calibri"/>
          <w:sz w:val="24"/>
          <w:szCs w:val="24"/>
        </w:rPr>
        <w:lastRenderedPageBreak/>
        <w:t>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 xml:space="preserve">Wydatki związane z funkcjonowaniem organów </w:t>
      </w:r>
      <w:proofErr w:type="spellStart"/>
      <w:r w:rsidRPr="00BF13A4">
        <w:rPr>
          <w:rFonts w:ascii="Calibri" w:hAnsi="Calibri"/>
          <w:sz w:val="24"/>
          <w:szCs w:val="24"/>
        </w:rPr>
        <w:t>jst</w:t>
      </w:r>
      <w:proofErr w:type="spellEnd"/>
      <w:r w:rsidRPr="00BF13A4">
        <w:rPr>
          <w:rFonts w:ascii="Calibri" w:hAnsi="Calibri"/>
          <w:sz w:val="24"/>
          <w:szCs w:val="24"/>
        </w:rPr>
        <w:t xml:space="preserve">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EF5B35" w:rsidRPr="005F278E">
        <w:rPr>
          <w:rFonts w:asciiTheme="minorHAnsi" w:hAnsiTheme="minorHAnsi" w:cstheme="minorHAnsi"/>
          <w:sz w:val="24"/>
          <w:szCs w:val="24"/>
        </w:rPr>
        <w:t>Krzęciniew</w:t>
      </w:r>
      <w:proofErr w:type="spellEnd"/>
      <w:r w:rsidR="00EF5B35" w:rsidRPr="005F278E">
        <w:rPr>
          <w:rFonts w:asciiTheme="minorHAnsi" w:hAnsiTheme="minorHAnsi" w:cstheme="minorHAnsi"/>
          <w:sz w:val="24"/>
          <w:szCs w:val="24"/>
        </w:rPr>
        <w:t xml:space="preserve">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 xml:space="preserve">kwotę 16 612 151,32 </w:t>
      </w:r>
      <w:proofErr w:type="spellStart"/>
      <w:r w:rsidR="0099433B">
        <w:rPr>
          <w:rFonts w:asciiTheme="minorHAnsi" w:hAnsiTheme="minorHAnsi" w:cstheme="minorHAnsi"/>
          <w:sz w:val="24"/>
          <w:szCs w:val="24"/>
        </w:rPr>
        <w:t>złoraz</w:t>
      </w:r>
      <w:proofErr w:type="spellEnd"/>
      <w:r w:rsidR="0099433B">
        <w:rPr>
          <w:rFonts w:asciiTheme="minorHAnsi" w:hAnsiTheme="minorHAnsi" w:cstheme="minorHAnsi"/>
          <w:sz w:val="24"/>
          <w:szCs w:val="24"/>
        </w:rPr>
        <w:t xml:space="preserve">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>dotyczą</w:t>
      </w:r>
      <w:proofErr w:type="spellEnd"/>
      <w:r w:rsidR="007629B4" w:rsidRPr="005F278E">
        <w:rPr>
          <w:rFonts w:asciiTheme="minorHAnsi" w:hAnsiTheme="minorHAnsi" w:cstheme="minorHAnsi"/>
          <w:sz w:val="24"/>
          <w:szCs w:val="24"/>
        </w:rPr>
        <w:t xml:space="preserve">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5F278E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5F278E" w:rsidSect="003E213F">
      <w:footerReference w:type="default" r:id="rId8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8DD" w:rsidRDefault="009738DD" w:rsidP="00801C16">
      <w:r>
        <w:separator/>
      </w:r>
    </w:p>
  </w:endnote>
  <w:endnote w:type="continuationSeparator" w:id="0">
    <w:p w:rsidR="009738DD" w:rsidRDefault="009738DD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5A90" w:rsidRDefault="00535A9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F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5A90" w:rsidRDefault="00535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8DD" w:rsidRDefault="009738DD" w:rsidP="00801C16">
      <w:r>
        <w:separator/>
      </w:r>
    </w:p>
  </w:footnote>
  <w:footnote w:type="continuationSeparator" w:id="0">
    <w:p w:rsidR="009738DD" w:rsidRDefault="009738DD" w:rsidP="0080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C0DC4"/>
    <w:multiLevelType w:val="hybridMultilevel"/>
    <w:tmpl w:val="2358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687409"/>
    <w:multiLevelType w:val="hybridMultilevel"/>
    <w:tmpl w:val="37AC413A"/>
    <w:lvl w:ilvl="0" w:tplc="8E0025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7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2826"/>
    <w:rsid w:val="00020A88"/>
    <w:rsid w:val="0002168F"/>
    <w:rsid w:val="00022C85"/>
    <w:rsid w:val="000240C6"/>
    <w:rsid w:val="000257AC"/>
    <w:rsid w:val="000268FD"/>
    <w:rsid w:val="0002797E"/>
    <w:rsid w:val="00040172"/>
    <w:rsid w:val="000459C2"/>
    <w:rsid w:val="00053687"/>
    <w:rsid w:val="00055415"/>
    <w:rsid w:val="000601EB"/>
    <w:rsid w:val="0006331F"/>
    <w:rsid w:val="00063D3A"/>
    <w:rsid w:val="000753B7"/>
    <w:rsid w:val="000773E7"/>
    <w:rsid w:val="00080809"/>
    <w:rsid w:val="00082CB8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4909"/>
    <w:rsid w:val="001671A2"/>
    <w:rsid w:val="001717BF"/>
    <w:rsid w:val="0017784C"/>
    <w:rsid w:val="00182522"/>
    <w:rsid w:val="0018477C"/>
    <w:rsid w:val="001858E0"/>
    <w:rsid w:val="0019537D"/>
    <w:rsid w:val="00196947"/>
    <w:rsid w:val="001B7C85"/>
    <w:rsid w:val="001B7E73"/>
    <w:rsid w:val="001C4CCD"/>
    <w:rsid w:val="001C4DB3"/>
    <w:rsid w:val="001C731C"/>
    <w:rsid w:val="001D5A89"/>
    <w:rsid w:val="001D76E2"/>
    <w:rsid w:val="001E674D"/>
    <w:rsid w:val="001F0A0F"/>
    <w:rsid w:val="001F2804"/>
    <w:rsid w:val="001F6632"/>
    <w:rsid w:val="00211185"/>
    <w:rsid w:val="002178F7"/>
    <w:rsid w:val="0022240A"/>
    <w:rsid w:val="00227BE9"/>
    <w:rsid w:val="002369DC"/>
    <w:rsid w:val="00240045"/>
    <w:rsid w:val="0024202A"/>
    <w:rsid w:val="0024550D"/>
    <w:rsid w:val="00251A7E"/>
    <w:rsid w:val="00263D8E"/>
    <w:rsid w:val="002807AF"/>
    <w:rsid w:val="002A3279"/>
    <w:rsid w:val="002A51A6"/>
    <w:rsid w:val="002B16A2"/>
    <w:rsid w:val="002B4747"/>
    <w:rsid w:val="002C0DDC"/>
    <w:rsid w:val="002C4E76"/>
    <w:rsid w:val="002C65B4"/>
    <w:rsid w:val="002D4907"/>
    <w:rsid w:val="002D492A"/>
    <w:rsid w:val="002D7DA1"/>
    <w:rsid w:val="002E094A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26552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4C45"/>
    <w:rsid w:val="0046471B"/>
    <w:rsid w:val="00470957"/>
    <w:rsid w:val="004766C5"/>
    <w:rsid w:val="00484E69"/>
    <w:rsid w:val="00485ADC"/>
    <w:rsid w:val="004945AF"/>
    <w:rsid w:val="00494C30"/>
    <w:rsid w:val="004A0E67"/>
    <w:rsid w:val="004B0295"/>
    <w:rsid w:val="004B5E59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35A90"/>
    <w:rsid w:val="0056088C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5F5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60BEE"/>
    <w:rsid w:val="00675F8B"/>
    <w:rsid w:val="00680A9D"/>
    <w:rsid w:val="00683420"/>
    <w:rsid w:val="006873DC"/>
    <w:rsid w:val="00695FC1"/>
    <w:rsid w:val="006976CF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6F6A93"/>
    <w:rsid w:val="00704A9C"/>
    <w:rsid w:val="00712104"/>
    <w:rsid w:val="00716A96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85203"/>
    <w:rsid w:val="00785303"/>
    <w:rsid w:val="0079243D"/>
    <w:rsid w:val="00792D33"/>
    <w:rsid w:val="00792F54"/>
    <w:rsid w:val="0079541D"/>
    <w:rsid w:val="007A13E6"/>
    <w:rsid w:val="007A3F96"/>
    <w:rsid w:val="007A5179"/>
    <w:rsid w:val="007B1141"/>
    <w:rsid w:val="007D4262"/>
    <w:rsid w:val="007E1EA3"/>
    <w:rsid w:val="007E4AED"/>
    <w:rsid w:val="007E75EB"/>
    <w:rsid w:val="007F5702"/>
    <w:rsid w:val="008014A6"/>
    <w:rsid w:val="00801C16"/>
    <w:rsid w:val="0081132D"/>
    <w:rsid w:val="00814629"/>
    <w:rsid w:val="00816B11"/>
    <w:rsid w:val="00822491"/>
    <w:rsid w:val="00823127"/>
    <w:rsid w:val="00823625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46DA6"/>
    <w:rsid w:val="00950045"/>
    <w:rsid w:val="00955D85"/>
    <w:rsid w:val="00964FBA"/>
    <w:rsid w:val="00966549"/>
    <w:rsid w:val="009677E4"/>
    <w:rsid w:val="00972FB4"/>
    <w:rsid w:val="009738DD"/>
    <w:rsid w:val="00974EE6"/>
    <w:rsid w:val="00976B9B"/>
    <w:rsid w:val="00983EF3"/>
    <w:rsid w:val="00985A20"/>
    <w:rsid w:val="00991793"/>
    <w:rsid w:val="00991CF6"/>
    <w:rsid w:val="009935C6"/>
    <w:rsid w:val="00993726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7FF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D2528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61CE"/>
    <w:rsid w:val="00C67971"/>
    <w:rsid w:val="00C67C22"/>
    <w:rsid w:val="00C70788"/>
    <w:rsid w:val="00C73A2F"/>
    <w:rsid w:val="00C8140F"/>
    <w:rsid w:val="00C82AE4"/>
    <w:rsid w:val="00C867E6"/>
    <w:rsid w:val="00C86917"/>
    <w:rsid w:val="00C87EAE"/>
    <w:rsid w:val="00CB1FE4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D9F"/>
    <w:rsid w:val="00D16C19"/>
    <w:rsid w:val="00D23DF5"/>
    <w:rsid w:val="00D247AB"/>
    <w:rsid w:val="00D27A3C"/>
    <w:rsid w:val="00D3136E"/>
    <w:rsid w:val="00D42F9F"/>
    <w:rsid w:val="00D46E7C"/>
    <w:rsid w:val="00D53480"/>
    <w:rsid w:val="00D55AFF"/>
    <w:rsid w:val="00D57156"/>
    <w:rsid w:val="00D6438B"/>
    <w:rsid w:val="00D75346"/>
    <w:rsid w:val="00D9185C"/>
    <w:rsid w:val="00D93F1D"/>
    <w:rsid w:val="00D94033"/>
    <w:rsid w:val="00DA22AB"/>
    <w:rsid w:val="00DB7265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205A"/>
    <w:rsid w:val="00EE4C1A"/>
    <w:rsid w:val="00EF5B35"/>
    <w:rsid w:val="00F07EEC"/>
    <w:rsid w:val="00F32274"/>
    <w:rsid w:val="00F61EAB"/>
    <w:rsid w:val="00F64B87"/>
    <w:rsid w:val="00F72F4E"/>
    <w:rsid w:val="00F86A0C"/>
    <w:rsid w:val="00F86EF1"/>
    <w:rsid w:val="00F91D0C"/>
    <w:rsid w:val="00FA6F75"/>
    <w:rsid w:val="00FB57AE"/>
    <w:rsid w:val="00FB5B77"/>
    <w:rsid w:val="00FC1719"/>
    <w:rsid w:val="00FC39F8"/>
    <w:rsid w:val="00FC55D7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77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14</Pages>
  <Words>3975</Words>
  <Characters>23855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33</cp:revision>
  <cp:lastPrinted>2019-11-18T11:16:00Z</cp:lastPrinted>
  <dcterms:created xsi:type="dcterms:W3CDTF">2019-10-30T06:44:00Z</dcterms:created>
  <dcterms:modified xsi:type="dcterms:W3CDTF">2019-11-21T08:19:00Z</dcterms:modified>
</cp:coreProperties>
</file>