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6821E" w14:textId="77777777" w:rsidR="00292257" w:rsidRPr="00F05917" w:rsidRDefault="00292257" w:rsidP="00292257">
      <w:pPr>
        <w:pStyle w:val="Akapitzlist"/>
        <w:ind w:left="4260" w:firstLine="696"/>
        <w:jc w:val="both"/>
        <w:rPr>
          <w:rFonts w:ascii="Times New Roman" w:hAnsi="Times New Roman" w:cs="Times New Roman"/>
          <w:sz w:val="20"/>
          <w:szCs w:val="20"/>
        </w:rPr>
      </w:pPr>
      <w:r w:rsidRPr="00F05917">
        <w:rPr>
          <w:rFonts w:ascii="Times New Roman" w:hAnsi="Times New Roman" w:cs="Times New Roman"/>
          <w:b/>
          <w:sz w:val="20"/>
          <w:szCs w:val="20"/>
        </w:rPr>
        <w:t>Załącznik nr 1</w:t>
      </w:r>
    </w:p>
    <w:p w14:paraId="2FFAAD0A" w14:textId="6106DC15" w:rsidR="00292257" w:rsidRPr="00A54EF4" w:rsidRDefault="009E6CAB" w:rsidP="00292257">
      <w:pPr>
        <w:jc w:val="both"/>
        <w:rPr>
          <w:rFonts w:ascii="Times New Roman" w:hAnsi="Times New Roman" w:cs="Times New Roman"/>
          <w:b/>
          <w:sz w:val="20"/>
          <w:szCs w:val="20"/>
        </w:rPr>
      </w:pP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t xml:space="preserve">Do decyzji </w:t>
      </w:r>
      <w:r w:rsidR="00292257" w:rsidRPr="00A54EF4">
        <w:rPr>
          <w:rFonts w:ascii="Times New Roman" w:hAnsi="Times New Roman" w:cs="Times New Roman"/>
          <w:b/>
          <w:sz w:val="20"/>
          <w:szCs w:val="20"/>
        </w:rPr>
        <w:t>Wójta Gminy Krzęcin</w:t>
      </w:r>
    </w:p>
    <w:p w14:paraId="3ECD20F0" w14:textId="330F705D" w:rsidR="00292257" w:rsidRPr="00A54EF4" w:rsidRDefault="00D17279" w:rsidP="00292257">
      <w:pPr>
        <w:jc w:val="both"/>
        <w:rPr>
          <w:rFonts w:ascii="Times New Roman" w:hAnsi="Times New Roman" w:cs="Times New Roman"/>
          <w:b/>
          <w:sz w:val="20"/>
          <w:szCs w:val="20"/>
        </w:rPr>
      </w:pP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t xml:space="preserve">z dnia </w:t>
      </w:r>
      <w:r w:rsidR="005B7B81">
        <w:rPr>
          <w:rFonts w:ascii="Times New Roman" w:hAnsi="Times New Roman" w:cs="Times New Roman"/>
          <w:b/>
          <w:sz w:val="20"/>
          <w:szCs w:val="20"/>
        </w:rPr>
        <w:t>19</w:t>
      </w:r>
      <w:r w:rsidR="003155DC">
        <w:rPr>
          <w:rFonts w:ascii="Times New Roman" w:hAnsi="Times New Roman" w:cs="Times New Roman"/>
          <w:b/>
          <w:sz w:val="20"/>
          <w:szCs w:val="20"/>
        </w:rPr>
        <w:t xml:space="preserve"> lutego</w:t>
      </w:r>
      <w:r w:rsidR="00BB367F">
        <w:rPr>
          <w:rFonts w:ascii="Times New Roman" w:hAnsi="Times New Roman" w:cs="Times New Roman"/>
          <w:b/>
          <w:sz w:val="20"/>
          <w:szCs w:val="20"/>
        </w:rPr>
        <w:t xml:space="preserve"> 2024</w:t>
      </w:r>
      <w:r w:rsidR="006D7D42">
        <w:rPr>
          <w:rFonts w:ascii="Times New Roman" w:hAnsi="Times New Roman" w:cs="Times New Roman"/>
          <w:b/>
          <w:sz w:val="20"/>
          <w:szCs w:val="20"/>
        </w:rPr>
        <w:t xml:space="preserve"> r</w:t>
      </w:r>
      <w:r w:rsidR="00292257" w:rsidRPr="00A54EF4">
        <w:rPr>
          <w:rFonts w:ascii="Times New Roman" w:hAnsi="Times New Roman" w:cs="Times New Roman"/>
          <w:b/>
          <w:sz w:val="20"/>
          <w:szCs w:val="20"/>
        </w:rPr>
        <w:t xml:space="preserve">. </w:t>
      </w:r>
    </w:p>
    <w:p w14:paraId="5E757BE4" w14:textId="0D3A1311" w:rsidR="00292257" w:rsidRPr="00A54EF4" w:rsidRDefault="003155DC" w:rsidP="00292257">
      <w:pPr>
        <w:jc w:val="both"/>
        <w:rPr>
          <w:rFonts w:ascii="Times New Roman" w:hAnsi="Times New Roman" w:cs="Times New Roman"/>
          <w:b/>
          <w:sz w:val="20"/>
          <w:szCs w:val="20"/>
        </w:rPr>
      </w:pP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r>
      <w:r>
        <w:rPr>
          <w:rFonts w:ascii="Times New Roman" w:hAnsi="Times New Roman" w:cs="Times New Roman"/>
          <w:b/>
          <w:sz w:val="20"/>
          <w:szCs w:val="20"/>
        </w:rPr>
        <w:tab/>
        <w:t>znak: ZPOŚ.6220.8.15</w:t>
      </w:r>
      <w:r w:rsidR="00C66D18">
        <w:rPr>
          <w:rFonts w:ascii="Times New Roman" w:hAnsi="Times New Roman" w:cs="Times New Roman"/>
          <w:b/>
          <w:sz w:val="20"/>
          <w:szCs w:val="20"/>
        </w:rPr>
        <w:t>.2023</w:t>
      </w:r>
      <w:r w:rsidR="00D17279">
        <w:rPr>
          <w:rFonts w:ascii="Times New Roman" w:hAnsi="Times New Roman" w:cs="Times New Roman"/>
          <w:b/>
          <w:sz w:val="20"/>
          <w:szCs w:val="20"/>
        </w:rPr>
        <w:t>.AK</w:t>
      </w:r>
    </w:p>
    <w:p w14:paraId="5C1EB876" w14:textId="77777777" w:rsidR="00292257" w:rsidRDefault="00292257" w:rsidP="00292257">
      <w:pPr>
        <w:rPr>
          <w:rFonts w:ascii="Times New Roman" w:hAnsi="Times New Roman" w:cs="Times New Roman"/>
          <w:sz w:val="24"/>
          <w:szCs w:val="24"/>
        </w:rPr>
      </w:pPr>
    </w:p>
    <w:p w14:paraId="21977085" w14:textId="77777777" w:rsidR="00711953" w:rsidRDefault="00292257" w:rsidP="00711953">
      <w:pPr>
        <w:ind w:left="708" w:firstLine="708"/>
        <w:rPr>
          <w:rFonts w:ascii="Times New Roman" w:hAnsi="Times New Roman" w:cs="Times New Roman"/>
          <w:b/>
          <w:sz w:val="24"/>
          <w:szCs w:val="24"/>
        </w:rPr>
      </w:pPr>
      <w:r w:rsidRPr="008059B3">
        <w:rPr>
          <w:rFonts w:ascii="Times New Roman" w:hAnsi="Times New Roman" w:cs="Times New Roman"/>
          <w:b/>
          <w:sz w:val="24"/>
          <w:szCs w:val="24"/>
        </w:rPr>
        <w:t>CHARA</w:t>
      </w:r>
      <w:r>
        <w:rPr>
          <w:rFonts w:ascii="Times New Roman" w:hAnsi="Times New Roman" w:cs="Times New Roman"/>
          <w:b/>
          <w:sz w:val="24"/>
          <w:szCs w:val="24"/>
        </w:rPr>
        <w:t>KTERYSTYKA PRZEDSIEWZIĘ</w:t>
      </w:r>
      <w:r w:rsidRPr="008059B3">
        <w:rPr>
          <w:rFonts w:ascii="Times New Roman" w:hAnsi="Times New Roman" w:cs="Times New Roman"/>
          <w:b/>
          <w:sz w:val="24"/>
          <w:szCs w:val="24"/>
        </w:rPr>
        <w:t xml:space="preserve">CIA </w:t>
      </w:r>
    </w:p>
    <w:p w14:paraId="49C45623" w14:textId="53882736" w:rsidR="00421AFB" w:rsidRDefault="00421AFB" w:rsidP="00421AFB">
      <w:pPr>
        <w:spacing w:line="360" w:lineRule="auto"/>
        <w:jc w:val="both"/>
        <w:rPr>
          <w:rFonts w:ascii="Times New Roman" w:hAnsi="Times New Roman" w:cs="Times New Roman"/>
          <w:b/>
          <w:bCs/>
          <w:sz w:val="24"/>
          <w:szCs w:val="24"/>
          <w:u w:val="single"/>
        </w:rPr>
      </w:pPr>
      <w:r w:rsidRPr="00DA7768">
        <w:rPr>
          <w:rFonts w:ascii="Times New Roman" w:hAnsi="Times New Roman" w:cs="Times New Roman"/>
          <w:b/>
          <w:bCs/>
          <w:sz w:val="24"/>
          <w:szCs w:val="24"/>
          <w:u w:val="single"/>
        </w:rPr>
        <w:t>Lokalizacja i opis sytuacyjny terenu:</w:t>
      </w:r>
    </w:p>
    <w:p w14:paraId="4A19DDFF" w14:textId="179DF433" w:rsidR="000858B7" w:rsidRDefault="0071305C" w:rsidP="009A4D19">
      <w:pPr>
        <w:pStyle w:val="Teksttreci20"/>
        <w:shd w:val="clear" w:color="auto" w:fill="auto"/>
        <w:spacing w:line="360" w:lineRule="auto"/>
        <w:ind w:firstLine="460"/>
        <w:jc w:val="both"/>
        <w:rPr>
          <w:sz w:val="24"/>
          <w:szCs w:val="24"/>
        </w:rPr>
      </w:pPr>
      <w:r w:rsidRPr="0071305C">
        <w:rPr>
          <w:sz w:val="24"/>
          <w:szCs w:val="24"/>
        </w:rPr>
        <w:t xml:space="preserve">Planowana inwestycja będzie polegała na budowie </w:t>
      </w:r>
      <w:r w:rsidR="00171BBD">
        <w:rPr>
          <w:sz w:val="24"/>
          <w:szCs w:val="24"/>
        </w:rPr>
        <w:t xml:space="preserve">zespołu elektrowni fotowoltaicznych „Krzęcin CP” o mocy do 20 MW </w:t>
      </w:r>
      <w:r w:rsidR="000858B7">
        <w:rPr>
          <w:sz w:val="24"/>
          <w:szCs w:val="24"/>
        </w:rPr>
        <w:t>wraz z niezbędną infrastrukturą techniczną</w:t>
      </w:r>
      <w:r w:rsidR="009A4D19">
        <w:rPr>
          <w:sz w:val="24"/>
          <w:szCs w:val="24"/>
        </w:rPr>
        <w:t>.</w:t>
      </w:r>
      <w:r w:rsidR="000858B7">
        <w:rPr>
          <w:sz w:val="24"/>
          <w:szCs w:val="24"/>
        </w:rPr>
        <w:t xml:space="preserve"> </w:t>
      </w:r>
    </w:p>
    <w:p w14:paraId="767509A4" w14:textId="43DFD579" w:rsidR="005B7B81" w:rsidRDefault="000858B7" w:rsidP="009A4D19">
      <w:pPr>
        <w:pStyle w:val="Teksttreci20"/>
        <w:shd w:val="clear" w:color="auto" w:fill="auto"/>
        <w:spacing w:line="360" w:lineRule="auto"/>
        <w:ind w:firstLine="459"/>
        <w:jc w:val="both"/>
        <w:rPr>
          <w:sz w:val="24"/>
          <w:szCs w:val="24"/>
        </w:rPr>
      </w:pPr>
      <w:r>
        <w:rPr>
          <w:sz w:val="24"/>
          <w:szCs w:val="24"/>
        </w:rPr>
        <w:t>Przedmiotowa inwestycja będzie</w:t>
      </w:r>
      <w:r w:rsidR="00171BBD">
        <w:rPr>
          <w:sz w:val="24"/>
          <w:szCs w:val="24"/>
        </w:rPr>
        <w:t xml:space="preserve"> zlokalizowana na działce o nr 127/5 w obrębie Nowy Klukom oraz na działkach o nr 8/2, 9, 17 i 18 w obrębie Słonice ( gmina Krzęcin, powiat choszczeński). Powierzchnia całkowita wskazanych działek wynosi 29,2402 ha, natomiast powierzchnia przeznaczona pod realizację wnioskowanego przedsięwzięcia wyniesie </w:t>
      </w:r>
      <w:r>
        <w:rPr>
          <w:sz w:val="24"/>
          <w:szCs w:val="24"/>
        </w:rPr>
        <w:br/>
      </w:r>
      <w:r w:rsidR="00171BBD">
        <w:rPr>
          <w:sz w:val="24"/>
          <w:szCs w:val="24"/>
        </w:rPr>
        <w:t>do ok. 20,9 ha</w:t>
      </w:r>
      <w:r>
        <w:rPr>
          <w:sz w:val="24"/>
          <w:szCs w:val="24"/>
        </w:rPr>
        <w:t>, które stanowią grunty rolne.</w:t>
      </w:r>
      <w:r w:rsidR="009A4D19">
        <w:rPr>
          <w:sz w:val="24"/>
          <w:szCs w:val="24"/>
        </w:rPr>
        <w:t xml:space="preserve"> </w:t>
      </w:r>
      <w:r w:rsidR="005B7B81">
        <w:rPr>
          <w:sz w:val="24"/>
          <w:szCs w:val="24"/>
        </w:rPr>
        <w:t xml:space="preserve">W ramach realizacji inwestycji dopuszcza się wykorzystanie także działki towarzyszącej o nr ewid. 130 obręb Nowy Klukom oraz działek o nr ewid 55, 59 obręb Słonice, gmina Krzęcin w celu realizacji połączenia elektromagnetycznego (przejście podziemnymi liniami kablowymi) pomiędzy elementami farmy fotowoltaicznej zlokalizowanymi na poszczególnych działkach inwestycyjnych. Powierzchnia działek towarzyszących, przez które możliwe jest zrealizowanie przejścia podziemnymi linami kablowymi wyniesie do około 1,1 ha. Dokładny rodzaj i rozmieszczenie elementów towarzyszących zostanie wskazany na późniejszym etapie projektowym. Dopuszcza się możliwość realizacji inwestycji w podziale na mniejsze zespoły, których sumaryczna moc nie będzie większa niż 20 MW. </w:t>
      </w:r>
    </w:p>
    <w:p w14:paraId="256C8BC2" w14:textId="5EEEF4A4" w:rsidR="009A4D19" w:rsidRPr="0071305C" w:rsidRDefault="009A4D19" w:rsidP="009A4D19">
      <w:pPr>
        <w:pStyle w:val="Teksttreci20"/>
        <w:shd w:val="clear" w:color="auto" w:fill="auto"/>
        <w:spacing w:line="360" w:lineRule="auto"/>
        <w:ind w:firstLine="459"/>
        <w:jc w:val="both"/>
        <w:rPr>
          <w:sz w:val="24"/>
          <w:szCs w:val="24"/>
        </w:rPr>
      </w:pPr>
      <w:r>
        <w:rPr>
          <w:sz w:val="24"/>
          <w:szCs w:val="24"/>
        </w:rPr>
        <w:t>Działki, na których planowane jest przedsięwzięcie nie są objęte miejscowym planem z</w:t>
      </w:r>
      <w:r w:rsidR="005B7B81">
        <w:rPr>
          <w:sz w:val="24"/>
          <w:szCs w:val="24"/>
        </w:rPr>
        <w:t xml:space="preserve">agospodarowania przestrzennego. Ponadto zgodnie </w:t>
      </w:r>
      <w:r>
        <w:rPr>
          <w:sz w:val="24"/>
          <w:szCs w:val="24"/>
        </w:rPr>
        <w:t xml:space="preserve">z obowiązującym Planem gospodarowania wodami na obszarze dorzecza Odry, przedmiotowe przedsięwzięcie realizowane będzie na obszarze Jednolitej Części Wód Podziemnych </w:t>
      </w:r>
      <w:r>
        <w:rPr>
          <w:sz w:val="24"/>
          <w:szCs w:val="24"/>
        </w:rPr>
        <w:br/>
        <w:t>oraz na terenie zlewni Jednolitej Części Wód Powierzchniowych Mała Ina</w:t>
      </w:r>
      <w:r w:rsidR="005B7B81">
        <w:rPr>
          <w:sz w:val="24"/>
          <w:szCs w:val="24"/>
        </w:rPr>
        <w:t xml:space="preserve"> od źródeł do Kanału Pomietów wraz z Kanałem Pomietów</w:t>
      </w:r>
      <w:r>
        <w:rPr>
          <w:sz w:val="24"/>
          <w:szCs w:val="24"/>
        </w:rPr>
        <w:t xml:space="preserve"> i na terenie zlewni Jednolitej Części Wód Powierzchniowych Stobnica.</w:t>
      </w:r>
    </w:p>
    <w:p w14:paraId="4EEF9412" w14:textId="620134EF" w:rsidR="009A4D19" w:rsidRDefault="0071305C" w:rsidP="007947D2">
      <w:pPr>
        <w:spacing w:before="100" w:beforeAutospacing="1" w:after="0" w:line="36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Instalacja fotowoltaiczna będzie składała się z następujących elementów</w:t>
      </w:r>
      <w:r w:rsidR="009A4D19">
        <w:rPr>
          <w:rFonts w:ascii="Times New Roman" w:eastAsia="Times New Roman" w:hAnsi="Times New Roman" w:cs="Times New Roman"/>
          <w:b/>
          <w:sz w:val="24"/>
          <w:szCs w:val="24"/>
          <w:lang w:eastAsia="pl-PL"/>
        </w:rPr>
        <w:t>:</w:t>
      </w:r>
    </w:p>
    <w:p w14:paraId="7AE6B282" w14:textId="3F8791C2" w:rsidR="00AB0E5D" w:rsidRPr="009A4D19" w:rsidRDefault="000858B7" w:rsidP="009A4D19">
      <w:pPr>
        <w:spacing w:line="360" w:lineRule="auto"/>
        <w:ind w:firstLine="460"/>
        <w:jc w:val="both"/>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lastRenderedPageBreak/>
        <w:t xml:space="preserve">- panele fotowoltaiczne – moduł jednostronny lub dwustronny tzw. </w:t>
      </w:r>
      <w:proofErr w:type="spellStart"/>
      <w:r>
        <w:rPr>
          <w:rFonts w:ascii="Times New Roman" w:eastAsia="Times New Roman" w:hAnsi="Times New Roman" w:cs="Times New Roman"/>
          <w:sz w:val="24"/>
          <w:szCs w:val="24"/>
          <w:lang w:eastAsia="pl-PL"/>
        </w:rPr>
        <w:t>bifacialny</w:t>
      </w:r>
      <w:proofErr w:type="spellEnd"/>
      <w:r>
        <w:rPr>
          <w:rFonts w:ascii="Times New Roman" w:eastAsia="Times New Roman" w:hAnsi="Times New Roman" w:cs="Times New Roman"/>
          <w:sz w:val="24"/>
          <w:szCs w:val="24"/>
          <w:lang w:eastAsia="pl-PL"/>
        </w:rPr>
        <w:t xml:space="preserve"> z możliwością zamontowania systemu trackerów jako konstrukcji, która pozwala instalacji fotowoltaicznej śledzić ruch słońca i ustawiać się do niego w optymalnym położeniu,</w:t>
      </w:r>
    </w:p>
    <w:p w14:paraId="2884680F" w14:textId="0552FC02" w:rsidR="000858B7" w:rsidRDefault="000858B7" w:rsidP="000858B7">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stacje transformatorowe,</w:t>
      </w:r>
    </w:p>
    <w:p w14:paraId="555DF08C" w14:textId="669BE2A7" w:rsidR="000858B7" w:rsidRDefault="000858B7" w:rsidP="000858B7">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opcjonalnie magazyny energii wraz z niezbędną infrastrukturą towarzyszącą,</w:t>
      </w:r>
    </w:p>
    <w:p w14:paraId="3380D41B" w14:textId="6B1D859E" w:rsidR="000858B7" w:rsidRDefault="000858B7" w:rsidP="000858B7">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9A4D19">
        <w:rPr>
          <w:rFonts w:ascii="Times New Roman" w:eastAsia="Times New Roman" w:hAnsi="Times New Roman" w:cs="Times New Roman"/>
          <w:sz w:val="24"/>
          <w:szCs w:val="24"/>
          <w:lang w:eastAsia="pl-PL"/>
        </w:rPr>
        <w:t>inwertery,</w:t>
      </w:r>
    </w:p>
    <w:p w14:paraId="7D5EFFC1" w14:textId="13C797F6" w:rsidR="009A4D19" w:rsidRDefault="009A4D19" w:rsidP="000858B7">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podziemne linie energetyczne,</w:t>
      </w:r>
    </w:p>
    <w:p w14:paraId="4CFC8664" w14:textId="4C6D2F97" w:rsidR="009A4D19" w:rsidRDefault="009A4D19" w:rsidP="000858B7">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place manewrowo-serwisowe,</w:t>
      </w:r>
    </w:p>
    <w:p w14:paraId="0CADC4FC" w14:textId="53465664" w:rsidR="009A4D19" w:rsidRDefault="009A4D19" w:rsidP="000858B7">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drogi wewnętrzne,</w:t>
      </w:r>
    </w:p>
    <w:p w14:paraId="25CC4F6B" w14:textId="5D48F75B" w:rsidR="009A4D19" w:rsidRDefault="009A4D19" w:rsidP="000858B7">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ogrodzenie,</w:t>
      </w:r>
    </w:p>
    <w:p w14:paraId="19EC5DAD" w14:textId="556B7CC2" w:rsidR="009A4D19" w:rsidRDefault="009A4D19" w:rsidP="000858B7">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infrastruktura odgromowa i telekomunikacyjna umożliwiająca nadzór eksploatacyjny elektrowni,</w:t>
      </w:r>
    </w:p>
    <w:p w14:paraId="3D533B3D" w14:textId="50DAE3DA" w:rsidR="009A4D19" w:rsidRDefault="009A4D19" w:rsidP="000858B7">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inne niezbędne elementy infrastruktury związane z budowa i eksploatacją farmy fotowoltaicznej.</w:t>
      </w:r>
    </w:p>
    <w:p w14:paraId="7863F4B0" w14:textId="3E8389B2" w:rsidR="00A85929" w:rsidRDefault="00A85929" w:rsidP="000858B7">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ramach inwestycji planuje się prowadzić krótkie drogi dojazdowe, wykonane m.in. z kruszyna np. żwiru, które umożliwia dojazd do stacji transformatorowych i innych elementów farmy fotowoltaicznej. Planuje się też wykonanie niewielkich placów manewrowych o analogicznej nawierzchni.</w:t>
      </w:r>
    </w:p>
    <w:p w14:paraId="06F74F29" w14:textId="77777777" w:rsidR="007947D2" w:rsidRDefault="00A85929" w:rsidP="000858B7">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t xml:space="preserve">Wytwarzanie przez panele słoneczne prąd </w:t>
      </w:r>
      <w:r w:rsidR="00797B89">
        <w:rPr>
          <w:rFonts w:ascii="Times New Roman" w:eastAsia="Times New Roman" w:hAnsi="Times New Roman" w:cs="Times New Roman"/>
          <w:sz w:val="24"/>
          <w:szCs w:val="24"/>
          <w:lang w:eastAsia="pl-PL"/>
        </w:rPr>
        <w:t>elektryczny</w:t>
      </w:r>
      <w:r>
        <w:rPr>
          <w:rFonts w:ascii="Times New Roman" w:eastAsia="Times New Roman" w:hAnsi="Times New Roman" w:cs="Times New Roman"/>
          <w:sz w:val="24"/>
          <w:szCs w:val="24"/>
          <w:lang w:eastAsia="pl-PL"/>
        </w:rPr>
        <w:t xml:space="preserve"> o napięciu stałym przekształcany będzie przez </w:t>
      </w:r>
      <w:r w:rsidR="00797B89">
        <w:rPr>
          <w:rFonts w:ascii="Times New Roman" w:eastAsia="Times New Roman" w:hAnsi="Times New Roman" w:cs="Times New Roman"/>
          <w:sz w:val="24"/>
          <w:szCs w:val="24"/>
          <w:lang w:eastAsia="pl-PL"/>
        </w:rPr>
        <w:t>inwertery</w:t>
      </w:r>
      <w:r>
        <w:rPr>
          <w:rFonts w:ascii="Times New Roman" w:eastAsia="Times New Roman" w:hAnsi="Times New Roman" w:cs="Times New Roman"/>
          <w:sz w:val="24"/>
          <w:szCs w:val="24"/>
          <w:lang w:eastAsia="pl-PL"/>
        </w:rPr>
        <w:t xml:space="preserve"> w prąd zmienny, oddawany następnie do sieci energetycznej. Obecnie </w:t>
      </w:r>
      <w:r w:rsidR="00797B89">
        <w:rPr>
          <w:rFonts w:ascii="Times New Roman" w:eastAsia="Times New Roman" w:hAnsi="Times New Roman" w:cs="Times New Roman"/>
          <w:sz w:val="24"/>
          <w:szCs w:val="24"/>
          <w:lang w:eastAsia="pl-PL"/>
        </w:rPr>
        <w:t>inwestor</w:t>
      </w:r>
      <w:r>
        <w:rPr>
          <w:rFonts w:ascii="Times New Roman" w:eastAsia="Times New Roman" w:hAnsi="Times New Roman" w:cs="Times New Roman"/>
          <w:sz w:val="24"/>
          <w:szCs w:val="24"/>
          <w:lang w:eastAsia="pl-PL"/>
        </w:rPr>
        <w:t xml:space="preserve"> </w:t>
      </w:r>
      <w:r w:rsidR="00797B89">
        <w:rPr>
          <w:rFonts w:ascii="Times New Roman" w:eastAsia="Times New Roman" w:hAnsi="Times New Roman" w:cs="Times New Roman"/>
          <w:sz w:val="24"/>
          <w:szCs w:val="24"/>
          <w:lang w:eastAsia="pl-PL"/>
        </w:rPr>
        <w:t>rozważa</w:t>
      </w:r>
      <w:r>
        <w:rPr>
          <w:rFonts w:ascii="Times New Roman" w:eastAsia="Times New Roman" w:hAnsi="Times New Roman" w:cs="Times New Roman"/>
          <w:sz w:val="24"/>
          <w:szCs w:val="24"/>
          <w:lang w:eastAsia="pl-PL"/>
        </w:rPr>
        <w:t xml:space="preserve"> dwie możliwości przyłączenia planowanej inwestycji do systemu </w:t>
      </w:r>
      <w:r w:rsidR="00797B89">
        <w:rPr>
          <w:rFonts w:ascii="Times New Roman" w:eastAsia="Times New Roman" w:hAnsi="Times New Roman" w:cs="Times New Roman"/>
          <w:sz w:val="24"/>
          <w:szCs w:val="24"/>
          <w:lang w:eastAsia="pl-PL"/>
        </w:rPr>
        <w:t>elektroenergetycznego</w:t>
      </w:r>
      <w:r>
        <w:rPr>
          <w:rFonts w:ascii="Times New Roman" w:eastAsia="Times New Roman" w:hAnsi="Times New Roman" w:cs="Times New Roman"/>
          <w:sz w:val="24"/>
          <w:szCs w:val="24"/>
          <w:lang w:eastAsia="pl-PL"/>
        </w:rPr>
        <w:t xml:space="preserve">. Pierwszą koncepcją jest podłączenie </w:t>
      </w:r>
      <w:r w:rsidR="00797B89">
        <w:rPr>
          <w:rFonts w:ascii="Times New Roman" w:eastAsia="Times New Roman" w:hAnsi="Times New Roman" w:cs="Times New Roman"/>
          <w:sz w:val="24"/>
          <w:szCs w:val="24"/>
          <w:lang w:eastAsia="pl-PL"/>
        </w:rPr>
        <w:t xml:space="preserve">go do linii średniego/wysokiego napięcia. Drugą z możliwości jest przyłączenie inwestycji do najbliższej stacji GPZ (Główny Punkt Zasilania). Szczegółowa koncepcja przyłącza zostanie opracowana na dalszym etapie prac nad projektem. Przyłącze to zostanie zrealizowane w oparciu o odrębną decyzję lokalizacyjną. </w:t>
      </w:r>
    </w:p>
    <w:p w14:paraId="57465205" w14:textId="6AB04988" w:rsidR="00A85929" w:rsidRPr="009E6C02" w:rsidRDefault="007947D2" w:rsidP="007947D2">
      <w:pPr>
        <w:spacing w:line="360" w:lineRule="auto"/>
        <w:jc w:val="right"/>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t>Wójt Gminy Krzęcin</w:t>
      </w:r>
      <w:r w:rsidR="00A85929">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w:t>
      </w:r>
    </w:p>
    <w:sectPr w:rsidR="00A85929" w:rsidRPr="009E6C02" w:rsidSect="007947D2">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7EBB8" w14:textId="77777777" w:rsidR="001C52A4" w:rsidRDefault="001C52A4">
      <w:pPr>
        <w:spacing w:after="0" w:line="240" w:lineRule="auto"/>
      </w:pPr>
      <w:r>
        <w:separator/>
      </w:r>
    </w:p>
  </w:endnote>
  <w:endnote w:type="continuationSeparator" w:id="0">
    <w:p w14:paraId="1B069041" w14:textId="77777777" w:rsidR="001C52A4" w:rsidRDefault="001C5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CA94E" w14:textId="77777777" w:rsidR="00205C98" w:rsidRDefault="00205C9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2686199"/>
      <w:docPartObj>
        <w:docPartGallery w:val="Page Numbers (Bottom of Page)"/>
        <w:docPartUnique/>
      </w:docPartObj>
    </w:sdtPr>
    <w:sdtEndPr/>
    <w:sdtContent>
      <w:p w14:paraId="5BAEB4FA" w14:textId="067665FE" w:rsidR="00205C98" w:rsidRDefault="00292257">
        <w:pPr>
          <w:pStyle w:val="Stopka"/>
          <w:jc w:val="center"/>
        </w:pPr>
        <w:r>
          <w:fldChar w:fldCharType="begin"/>
        </w:r>
        <w:r>
          <w:instrText>PAGE   \* MERGEFORMAT</w:instrText>
        </w:r>
        <w:r>
          <w:fldChar w:fldCharType="separate"/>
        </w:r>
        <w:r w:rsidR="00797B89">
          <w:rPr>
            <w:noProof/>
          </w:rPr>
          <w:t>1</w:t>
        </w:r>
        <w:r>
          <w:fldChar w:fldCharType="end"/>
        </w:r>
      </w:p>
    </w:sdtContent>
  </w:sdt>
  <w:p w14:paraId="5861D16E" w14:textId="77777777" w:rsidR="00205C98" w:rsidRDefault="00205C9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BD95D" w14:textId="77777777" w:rsidR="00205C98" w:rsidRDefault="00205C9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2232B" w14:textId="77777777" w:rsidR="001C52A4" w:rsidRDefault="001C52A4">
      <w:pPr>
        <w:spacing w:after="0" w:line="240" w:lineRule="auto"/>
      </w:pPr>
      <w:r>
        <w:separator/>
      </w:r>
    </w:p>
  </w:footnote>
  <w:footnote w:type="continuationSeparator" w:id="0">
    <w:p w14:paraId="2747AC84" w14:textId="77777777" w:rsidR="001C52A4" w:rsidRDefault="001C52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BE6C6" w14:textId="77777777" w:rsidR="00205C98" w:rsidRDefault="00205C9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B9237" w14:textId="77777777" w:rsidR="00205C98" w:rsidRDefault="00205C9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20094" w14:textId="77777777" w:rsidR="00205C98" w:rsidRDefault="00205C9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83153"/>
    <w:multiLevelType w:val="hybridMultilevel"/>
    <w:tmpl w:val="47420ED4"/>
    <w:lvl w:ilvl="0" w:tplc="57A265C8">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 w15:restartNumberingAfterBreak="0">
    <w:nsid w:val="2E621613"/>
    <w:multiLevelType w:val="hybridMultilevel"/>
    <w:tmpl w:val="710096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6736C08"/>
    <w:multiLevelType w:val="hybridMultilevel"/>
    <w:tmpl w:val="7632E9D2"/>
    <w:lvl w:ilvl="0" w:tplc="9C84F5DE">
      <w:start w:val="1"/>
      <w:numFmt w:val="decimal"/>
      <w:lvlText w:val="%1."/>
      <w:lvlJc w:val="left"/>
      <w:pPr>
        <w:ind w:left="78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36214410">
    <w:abstractNumId w:val="0"/>
  </w:num>
  <w:num w:numId="2" w16cid:durableId="487985037">
    <w:abstractNumId w:val="1"/>
  </w:num>
  <w:num w:numId="3" w16cid:durableId="12396334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D8A"/>
    <w:rsid w:val="00001CD1"/>
    <w:rsid w:val="000156DE"/>
    <w:rsid w:val="00037E5F"/>
    <w:rsid w:val="00044A08"/>
    <w:rsid w:val="00072B64"/>
    <w:rsid w:val="00075ECA"/>
    <w:rsid w:val="00077A64"/>
    <w:rsid w:val="000858B7"/>
    <w:rsid w:val="000C03A9"/>
    <w:rsid w:val="000C2879"/>
    <w:rsid w:val="00112F3C"/>
    <w:rsid w:val="00135879"/>
    <w:rsid w:val="00143309"/>
    <w:rsid w:val="001521E8"/>
    <w:rsid w:val="001563F2"/>
    <w:rsid w:val="00162421"/>
    <w:rsid w:val="00163E04"/>
    <w:rsid w:val="00165EE7"/>
    <w:rsid w:val="00171BBD"/>
    <w:rsid w:val="00173AA3"/>
    <w:rsid w:val="00184F5D"/>
    <w:rsid w:val="00191861"/>
    <w:rsid w:val="00193238"/>
    <w:rsid w:val="0019598B"/>
    <w:rsid w:val="001A310C"/>
    <w:rsid w:val="001C52A4"/>
    <w:rsid w:val="001C7092"/>
    <w:rsid w:val="001D062F"/>
    <w:rsid w:val="00205C98"/>
    <w:rsid w:val="00206293"/>
    <w:rsid w:val="0022604A"/>
    <w:rsid w:val="00271E05"/>
    <w:rsid w:val="00292257"/>
    <w:rsid w:val="002976BA"/>
    <w:rsid w:val="00297C60"/>
    <w:rsid w:val="002F043D"/>
    <w:rsid w:val="002F3ADC"/>
    <w:rsid w:val="00311323"/>
    <w:rsid w:val="003155DC"/>
    <w:rsid w:val="00360269"/>
    <w:rsid w:val="003618E2"/>
    <w:rsid w:val="003716EA"/>
    <w:rsid w:val="00385179"/>
    <w:rsid w:val="00385ED9"/>
    <w:rsid w:val="00387FBD"/>
    <w:rsid w:val="003A60FD"/>
    <w:rsid w:val="003A70E3"/>
    <w:rsid w:val="003B7535"/>
    <w:rsid w:val="003F6D8A"/>
    <w:rsid w:val="00403A04"/>
    <w:rsid w:val="00405249"/>
    <w:rsid w:val="004059D2"/>
    <w:rsid w:val="00414B68"/>
    <w:rsid w:val="00416DDA"/>
    <w:rsid w:val="00421AFB"/>
    <w:rsid w:val="00441AA2"/>
    <w:rsid w:val="00466FC2"/>
    <w:rsid w:val="0048242F"/>
    <w:rsid w:val="004D10D2"/>
    <w:rsid w:val="004E6CB5"/>
    <w:rsid w:val="004F0A36"/>
    <w:rsid w:val="004F0F85"/>
    <w:rsid w:val="005152CE"/>
    <w:rsid w:val="00541B9C"/>
    <w:rsid w:val="005860F2"/>
    <w:rsid w:val="005B7B81"/>
    <w:rsid w:val="005D4FAF"/>
    <w:rsid w:val="005E05CB"/>
    <w:rsid w:val="005F2F75"/>
    <w:rsid w:val="0061167E"/>
    <w:rsid w:val="00613973"/>
    <w:rsid w:val="006364DF"/>
    <w:rsid w:val="0064311C"/>
    <w:rsid w:val="00651922"/>
    <w:rsid w:val="00652DBA"/>
    <w:rsid w:val="006A083E"/>
    <w:rsid w:val="006C0BAF"/>
    <w:rsid w:val="006D7BBE"/>
    <w:rsid w:val="006D7D42"/>
    <w:rsid w:val="006E022B"/>
    <w:rsid w:val="006E263C"/>
    <w:rsid w:val="006E604C"/>
    <w:rsid w:val="00711953"/>
    <w:rsid w:val="0071305C"/>
    <w:rsid w:val="00736B41"/>
    <w:rsid w:val="00742DC0"/>
    <w:rsid w:val="00746577"/>
    <w:rsid w:val="00793A76"/>
    <w:rsid w:val="00793FE4"/>
    <w:rsid w:val="007947D2"/>
    <w:rsid w:val="00797B89"/>
    <w:rsid w:val="007A15E3"/>
    <w:rsid w:val="007B2369"/>
    <w:rsid w:val="007B2A84"/>
    <w:rsid w:val="007C4B79"/>
    <w:rsid w:val="007F3B97"/>
    <w:rsid w:val="00806A29"/>
    <w:rsid w:val="00822BB0"/>
    <w:rsid w:val="00832A42"/>
    <w:rsid w:val="00837F19"/>
    <w:rsid w:val="008428CD"/>
    <w:rsid w:val="0085164E"/>
    <w:rsid w:val="00854F94"/>
    <w:rsid w:val="00867CC1"/>
    <w:rsid w:val="00875B32"/>
    <w:rsid w:val="008850D5"/>
    <w:rsid w:val="008A4C6B"/>
    <w:rsid w:val="008A63EF"/>
    <w:rsid w:val="008B054E"/>
    <w:rsid w:val="008B690E"/>
    <w:rsid w:val="008B76AE"/>
    <w:rsid w:val="008D33F3"/>
    <w:rsid w:val="008E0713"/>
    <w:rsid w:val="00913BA0"/>
    <w:rsid w:val="00926101"/>
    <w:rsid w:val="0097405F"/>
    <w:rsid w:val="00984A7C"/>
    <w:rsid w:val="009A0673"/>
    <w:rsid w:val="009A0B3D"/>
    <w:rsid w:val="009A4D19"/>
    <w:rsid w:val="009D15A1"/>
    <w:rsid w:val="009E0A94"/>
    <w:rsid w:val="009E0E0E"/>
    <w:rsid w:val="009E6C02"/>
    <w:rsid w:val="009E6CAB"/>
    <w:rsid w:val="00A572C2"/>
    <w:rsid w:val="00A85929"/>
    <w:rsid w:val="00A936DD"/>
    <w:rsid w:val="00AA20A5"/>
    <w:rsid w:val="00AA4DC8"/>
    <w:rsid w:val="00AA68AD"/>
    <w:rsid w:val="00AA7C14"/>
    <w:rsid w:val="00AB0E5D"/>
    <w:rsid w:val="00AC65D3"/>
    <w:rsid w:val="00B148FD"/>
    <w:rsid w:val="00B21BFC"/>
    <w:rsid w:val="00B23366"/>
    <w:rsid w:val="00B50F7C"/>
    <w:rsid w:val="00B57041"/>
    <w:rsid w:val="00B63B9B"/>
    <w:rsid w:val="00B6550B"/>
    <w:rsid w:val="00B70CA4"/>
    <w:rsid w:val="00B711B4"/>
    <w:rsid w:val="00B75423"/>
    <w:rsid w:val="00B80DD5"/>
    <w:rsid w:val="00BA49DC"/>
    <w:rsid w:val="00BB367F"/>
    <w:rsid w:val="00BD01A6"/>
    <w:rsid w:val="00BF4CBE"/>
    <w:rsid w:val="00BF67CB"/>
    <w:rsid w:val="00C072C5"/>
    <w:rsid w:val="00C10531"/>
    <w:rsid w:val="00C118A4"/>
    <w:rsid w:val="00C21AAE"/>
    <w:rsid w:val="00C57AAE"/>
    <w:rsid w:val="00C66D18"/>
    <w:rsid w:val="00C73C05"/>
    <w:rsid w:val="00C81225"/>
    <w:rsid w:val="00C94902"/>
    <w:rsid w:val="00CA6FB0"/>
    <w:rsid w:val="00CC5D36"/>
    <w:rsid w:val="00CE57D7"/>
    <w:rsid w:val="00D17279"/>
    <w:rsid w:val="00D205C8"/>
    <w:rsid w:val="00D8357E"/>
    <w:rsid w:val="00DA7768"/>
    <w:rsid w:val="00DB402F"/>
    <w:rsid w:val="00DE0994"/>
    <w:rsid w:val="00DF7800"/>
    <w:rsid w:val="00E11C28"/>
    <w:rsid w:val="00E41196"/>
    <w:rsid w:val="00E50644"/>
    <w:rsid w:val="00E51A9B"/>
    <w:rsid w:val="00E65805"/>
    <w:rsid w:val="00EB7FEF"/>
    <w:rsid w:val="00EC7734"/>
    <w:rsid w:val="00EF5E45"/>
    <w:rsid w:val="00F15308"/>
    <w:rsid w:val="00F37E58"/>
    <w:rsid w:val="00F55C81"/>
    <w:rsid w:val="00F55FED"/>
    <w:rsid w:val="00F7388E"/>
    <w:rsid w:val="00F9247F"/>
    <w:rsid w:val="00F937FB"/>
    <w:rsid w:val="00FA6830"/>
    <w:rsid w:val="00FB179B"/>
    <w:rsid w:val="00FB2C18"/>
    <w:rsid w:val="00FB5676"/>
    <w:rsid w:val="00FC6919"/>
    <w:rsid w:val="00FD13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05183"/>
  <w15:docId w15:val="{3C67F89B-7552-4FB0-9944-D7A64FB7B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9225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92257"/>
    <w:pPr>
      <w:ind w:left="720"/>
      <w:contextualSpacing/>
    </w:pPr>
  </w:style>
  <w:style w:type="paragraph" w:styleId="Nagwek">
    <w:name w:val="header"/>
    <w:basedOn w:val="Normalny"/>
    <w:link w:val="NagwekZnak"/>
    <w:uiPriority w:val="99"/>
    <w:unhideWhenUsed/>
    <w:rsid w:val="0029225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92257"/>
  </w:style>
  <w:style w:type="paragraph" w:styleId="Stopka">
    <w:name w:val="footer"/>
    <w:basedOn w:val="Normalny"/>
    <w:link w:val="StopkaZnak"/>
    <w:uiPriority w:val="99"/>
    <w:unhideWhenUsed/>
    <w:rsid w:val="0029225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92257"/>
  </w:style>
  <w:style w:type="paragraph" w:styleId="Tekstprzypisukocowego">
    <w:name w:val="endnote text"/>
    <w:basedOn w:val="Normalny"/>
    <w:link w:val="TekstprzypisukocowegoZnak"/>
    <w:uiPriority w:val="99"/>
    <w:semiHidden/>
    <w:unhideWhenUsed/>
    <w:rsid w:val="008428CD"/>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8428CD"/>
    <w:rPr>
      <w:sz w:val="20"/>
      <w:szCs w:val="20"/>
    </w:rPr>
  </w:style>
  <w:style w:type="character" w:styleId="Odwoanieprzypisukocowego">
    <w:name w:val="endnote reference"/>
    <w:basedOn w:val="Domylnaczcionkaakapitu"/>
    <w:uiPriority w:val="99"/>
    <w:semiHidden/>
    <w:unhideWhenUsed/>
    <w:rsid w:val="008428CD"/>
    <w:rPr>
      <w:vertAlign w:val="superscript"/>
    </w:rPr>
  </w:style>
  <w:style w:type="paragraph" w:styleId="Tekstkomentarza">
    <w:name w:val="annotation text"/>
    <w:basedOn w:val="Normalny"/>
    <w:link w:val="TekstkomentarzaZnak"/>
    <w:uiPriority w:val="99"/>
    <w:semiHidden/>
    <w:unhideWhenUsed/>
    <w:rsid w:val="00421AF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21AFB"/>
    <w:rPr>
      <w:sz w:val="20"/>
      <w:szCs w:val="20"/>
    </w:rPr>
  </w:style>
  <w:style w:type="character" w:styleId="Odwoaniedokomentarza">
    <w:name w:val="annotation reference"/>
    <w:basedOn w:val="Domylnaczcionkaakapitu"/>
    <w:uiPriority w:val="99"/>
    <w:semiHidden/>
    <w:unhideWhenUsed/>
    <w:rsid w:val="00421AFB"/>
    <w:rPr>
      <w:sz w:val="16"/>
      <w:szCs w:val="16"/>
    </w:rPr>
  </w:style>
  <w:style w:type="paragraph" w:styleId="Tekstdymka">
    <w:name w:val="Balloon Text"/>
    <w:basedOn w:val="Normalny"/>
    <w:link w:val="TekstdymkaZnak"/>
    <w:uiPriority w:val="99"/>
    <w:semiHidden/>
    <w:unhideWhenUsed/>
    <w:rsid w:val="00421AF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21AFB"/>
    <w:rPr>
      <w:rFonts w:ascii="Segoe UI" w:hAnsi="Segoe UI" w:cs="Segoe UI"/>
      <w:sz w:val="18"/>
      <w:szCs w:val="18"/>
    </w:rPr>
  </w:style>
  <w:style w:type="character" w:customStyle="1" w:styleId="Teksttreci2">
    <w:name w:val="Tekst treści (2)_"/>
    <w:basedOn w:val="Domylnaczcionkaakapitu"/>
    <w:link w:val="Teksttreci20"/>
    <w:rsid w:val="0097405F"/>
    <w:rPr>
      <w:rFonts w:ascii="Times New Roman" w:eastAsia="Times New Roman" w:hAnsi="Times New Roman" w:cs="Times New Roman"/>
      <w:sz w:val="21"/>
      <w:szCs w:val="21"/>
      <w:shd w:val="clear" w:color="auto" w:fill="FFFFFF"/>
    </w:rPr>
  </w:style>
  <w:style w:type="paragraph" w:customStyle="1" w:styleId="Teksttreci20">
    <w:name w:val="Tekst treści (2)"/>
    <w:basedOn w:val="Normalny"/>
    <w:link w:val="Teksttreci2"/>
    <w:rsid w:val="0097405F"/>
    <w:pPr>
      <w:widowControl w:val="0"/>
      <w:shd w:val="clear" w:color="auto" w:fill="FFFFFF"/>
      <w:spacing w:after="0" w:line="0" w:lineRule="atLeast"/>
      <w:ind w:hanging="360"/>
    </w:pPr>
    <w:rPr>
      <w:rFonts w:ascii="Times New Roman" w:eastAsia="Times New Roman" w:hAnsi="Times New Roman" w:cs="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961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CD35A3-9B21-4A8A-825E-52F2EB2E1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543</Words>
  <Characters>3261</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Monika MW. Winnicka</cp:lastModifiedBy>
  <cp:revision>2</cp:revision>
  <cp:lastPrinted>2023-06-07T08:29:00Z</cp:lastPrinted>
  <dcterms:created xsi:type="dcterms:W3CDTF">2024-02-19T11:35:00Z</dcterms:created>
  <dcterms:modified xsi:type="dcterms:W3CDTF">2024-02-19T11:35:00Z</dcterms:modified>
</cp:coreProperties>
</file>